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422F" w14:textId="51A0E043" w:rsidR="0041585F" w:rsidRDefault="008A21F0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A21F0">
        <w:rPr>
          <w:sz w:val="26"/>
          <w:szCs w:val="26"/>
        </w:rPr>
        <w:drawing>
          <wp:inline distT="0" distB="0" distL="0" distR="0" wp14:anchorId="23C849BA" wp14:editId="3EEA4C8A">
            <wp:extent cx="6238875" cy="48862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853" t="11666" r="19571" b="5385"/>
                    <a:stretch/>
                  </pic:blipFill>
                  <pic:spPr bwMode="auto">
                    <a:xfrm>
                      <a:off x="0" y="0"/>
                      <a:ext cx="6257730" cy="4901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F6140" w14:textId="7712BD5F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24F7DFA6" w14:textId="544B99C7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73574327" w14:textId="75B82387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3437F5B1" w14:textId="61D966AF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bookmarkEnd w:id="0"/>
    </w:p>
    <w:p w14:paraId="6C452A2D" w14:textId="3470020D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480B7062" w14:textId="79E33A43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1D3F144D" w14:textId="17FAA079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04EAF4EA" w14:textId="44C255E7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6E664ECA" w14:textId="65E98D59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4BE073CF" w14:textId="7CC7BC4A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158F58E6" w14:textId="4C4D1728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447E2D9A" w14:textId="77777777" w:rsidR="00CD59BF" w:rsidRDefault="00CD59B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659535E3" w14:textId="28412959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66DBF3AD" w14:textId="1F202478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2F23C34C" w14:textId="6E9CFF16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17F2DC8A" w14:textId="5B036330" w:rsidR="008A21F0" w:rsidRDefault="008A21F0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2C010619" w14:textId="3E53C8DF" w:rsidR="008A21F0" w:rsidRDefault="008A21F0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2F4DDA0C" w14:textId="58B2B954" w:rsidR="008A21F0" w:rsidRDefault="008A21F0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5B7CA37B" w14:textId="77777777" w:rsidR="008A21F0" w:rsidRDefault="008A21F0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6F2E3DAD" w14:textId="5C010B8F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2F255494" w14:textId="462A6D42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64AE5F5B" w14:textId="77777777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50C3FC45" w14:textId="77777777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04A2CB32" w14:textId="77777777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39EA4FD2" w14:textId="77777777" w:rsidR="0041585F" w:rsidRDefault="0041585F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688F0FA2" w14:textId="6D04F10B" w:rsidR="004F5161" w:rsidRPr="000622FA" w:rsidRDefault="004F5161" w:rsidP="004F5161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622FA">
        <w:rPr>
          <w:sz w:val="26"/>
          <w:szCs w:val="26"/>
        </w:rPr>
        <w:lastRenderedPageBreak/>
        <w:t>Конкретные результаты реализации муниципальной программы,</w:t>
      </w:r>
    </w:p>
    <w:p w14:paraId="5357A67F" w14:textId="1635A2EB" w:rsidR="004F5161" w:rsidRPr="000622FA" w:rsidRDefault="004F5161" w:rsidP="004F516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2FA">
        <w:rPr>
          <w:rFonts w:ascii="Times New Roman" w:hAnsi="Times New Roman" w:cs="Times New Roman"/>
          <w:sz w:val="26"/>
          <w:szCs w:val="26"/>
        </w:rPr>
        <w:t>достигнутые за 2024 год, сведения о достижении значений целевых показателей (индикаторов) муниципальной программы</w:t>
      </w:r>
    </w:p>
    <w:p w14:paraId="649B3E83" w14:textId="77777777" w:rsidR="004F5161" w:rsidRPr="000622FA" w:rsidRDefault="004F5161" w:rsidP="004F5161">
      <w:pPr>
        <w:tabs>
          <w:tab w:val="left" w:pos="41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BA0267" w14:textId="78ED1FB1" w:rsidR="004F5161" w:rsidRPr="000636BA" w:rsidRDefault="004F5161" w:rsidP="000636BA">
      <w:pPr>
        <w:tabs>
          <w:tab w:val="left" w:pos="4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в городе Череповце действ</w:t>
      </w:r>
      <w:r w:rsidR="00996183"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овала</w:t>
      </w: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программа «Поддержка и развитие малого и среднего предпринимательства, повышение инвестиционной и туристической привлекательности города Череповца на 2022 - 2026 годы», утвержденная постановлением мэрии города от 22.10.2021 № 4071 (далее – Программа).</w:t>
      </w:r>
    </w:p>
    <w:p w14:paraId="24FB08F4" w14:textId="77777777" w:rsidR="004F5161" w:rsidRPr="000636BA" w:rsidRDefault="004F5161" w:rsidP="000636B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Ответственный исполнитель Программы – финансовое управление мэрии.</w:t>
      </w:r>
    </w:p>
    <w:p w14:paraId="6F7D34EE" w14:textId="5A13C188" w:rsidR="002E393A" w:rsidRPr="000636BA" w:rsidRDefault="002E393A" w:rsidP="000636B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bookmarkStart w:id="1" w:name="sub_3021"/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Соисполнители муниципальной программы</w:t>
      </w:r>
      <w:bookmarkEnd w:id="1"/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Мэрия города (Управление делами мэрии).</w:t>
      </w:r>
    </w:p>
    <w:p w14:paraId="4D9342D2" w14:textId="66387A2D" w:rsidR="004F5161" w:rsidRPr="000636BA" w:rsidRDefault="00996183" w:rsidP="000636B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F5161"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Программы – м</w:t>
      </w:r>
      <w:r w:rsidR="004F5161" w:rsidRPr="000636BA">
        <w:rPr>
          <w:rFonts w:ascii="Times New Roman" w:hAnsi="Times New Roman" w:cs="Times New Roman"/>
          <w:sz w:val="26"/>
          <w:szCs w:val="26"/>
        </w:rPr>
        <w:t>эрия города, комитет по управлению имуществом города (далее – КУИ), автономная некоммерческая организация поддержки предпринимательства «Агентство Городского Развития» (далее – АНО АГР, Агентство Городского Развития), контрольно-правовое управление мэрии (далее – КПУ)</w:t>
      </w:r>
      <w:r w:rsidR="004F5161"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774563" w14:textId="77777777" w:rsidR="004F5161" w:rsidRPr="000636BA" w:rsidRDefault="004F5161" w:rsidP="0006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Цель программы: 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города.</w:t>
      </w:r>
    </w:p>
    <w:p w14:paraId="3C43FE72" w14:textId="77777777" w:rsidR="008120EC" w:rsidRPr="000636BA" w:rsidRDefault="008120EC" w:rsidP="0006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ADAB4C" w14:textId="178A2A01" w:rsidR="004F5161" w:rsidRPr="000636BA" w:rsidRDefault="004F5161" w:rsidP="000636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36BA">
        <w:rPr>
          <w:rFonts w:ascii="Times New Roman" w:eastAsia="Calibri" w:hAnsi="Times New Roman" w:cs="Times New Roman"/>
          <w:sz w:val="26"/>
          <w:szCs w:val="26"/>
        </w:rPr>
        <w:t>В 2024 год</w:t>
      </w:r>
      <w:r w:rsidR="00996183" w:rsidRPr="000636BA">
        <w:rPr>
          <w:rFonts w:ascii="Times New Roman" w:eastAsia="Calibri" w:hAnsi="Times New Roman" w:cs="Times New Roman"/>
          <w:sz w:val="26"/>
          <w:szCs w:val="26"/>
        </w:rPr>
        <w:t>у</w:t>
      </w:r>
      <w:r w:rsidRPr="000636BA">
        <w:rPr>
          <w:rFonts w:ascii="Times New Roman" w:eastAsia="Calibri" w:hAnsi="Times New Roman" w:cs="Times New Roman"/>
          <w:sz w:val="26"/>
          <w:szCs w:val="26"/>
        </w:rPr>
        <w:t xml:space="preserve"> реализация Программы позволила достичь следующих результатов:</w:t>
      </w:r>
    </w:p>
    <w:p w14:paraId="009175A1" w14:textId="2E62EE1C" w:rsidR="004F5161" w:rsidRPr="000636BA" w:rsidRDefault="004F5161" w:rsidP="000636BA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 xml:space="preserve">В рамках решения задачи «Обеспечение доступности инфраструктуры поддержки малого и среднего предпринимательства» осуществлялась деятельность АНО АГР – организации инфраструктуры поддержки малого и среднего предпринимательства. Для осуществления деятельности АНО АГР предоставлены помещения. В мероприятиях АНО АГР, направленных на развитие предпринимательства, инвестиционного и туристического потенциала приняли участие </w:t>
      </w:r>
      <w:r w:rsidR="00EA3662" w:rsidRPr="000636BA">
        <w:rPr>
          <w:rFonts w:ascii="Times New Roman" w:hAnsi="Times New Roman" w:cs="Times New Roman"/>
          <w:sz w:val="26"/>
          <w:szCs w:val="26"/>
        </w:rPr>
        <w:t>4 588</w:t>
      </w:r>
      <w:r w:rsidRPr="000636BA">
        <w:rPr>
          <w:rFonts w:ascii="Times New Roman" w:hAnsi="Times New Roman" w:cs="Times New Roman"/>
          <w:sz w:val="26"/>
          <w:szCs w:val="26"/>
        </w:rPr>
        <w:t xml:space="preserve"> человек, было размещено </w:t>
      </w:r>
      <w:r w:rsidR="001111A2" w:rsidRPr="000636BA">
        <w:rPr>
          <w:rFonts w:ascii="Times New Roman" w:hAnsi="Times New Roman" w:cs="Times New Roman"/>
          <w:sz w:val="26"/>
          <w:szCs w:val="26"/>
        </w:rPr>
        <w:t>2 364</w:t>
      </w:r>
      <w:r w:rsidRPr="000636BA">
        <w:rPr>
          <w:rFonts w:ascii="Times New Roman" w:hAnsi="Times New Roman" w:cs="Times New Roman"/>
          <w:sz w:val="26"/>
          <w:szCs w:val="26"/>
        </w:rPr>
        <w:t xml:space="preserve"> информационных сообщени</w:t>
      </w:r>
      <w:r w:rsidR="00A35A9E" w:rsidRPr="000636BA">
        <w:rPr>
          <w:rFonts w:ascii="Times New Roman" w:hAnsi="Times New Roman" w:cs="Times New Roman"/>
          <w:sz w:val="26"/>
          <w:szCs w:val="26"/>
        </w:rPr>
        <w:t>й</w:t>
      </w:r>
      <w:r w:rsidRPr="000636BA">
        <w:rPr>
          <w:rFonts w:ascii="Times New Roman" w:hAnsi="Times New Roman" w:cs="Times New Roman"/>
          <w:sz w:val="26"/>
          <w:szCs w:val="26"/>
        </w:rPr>
        <w:t xml:space="preserve"> в СМИ о мероприятиях органов местного самоуправления г. Череповца по развитию малого и среднего предпринимательства (далее – МСП</w:t>
      </w:r>
      <w:r w:rsidRPr="000636BA">
        <w:rPr>
          <w:rStyle w:val="2"/>
          <w:sz w:val="26"/>
          <w:szCs w:val="26"/>
        </w:rPr>
        <w:t>).</w:t>
      </w:r>
      <w:r w:rsidR="00C50861" w:rsidRPr="000636BA">
        <w:rPr>
          <w:rStyle w:val="2"/>
          <w:sz w:val="26"/>
          <w:szCs w:val="26"/>
        </w:rPr>
        <w:t xml:space="preserve"> </w:t>
      </w:r>
      <w:bookmarkStart w:id="2" w:name="_Hlk188963526"/>
    </w:p>
    <w:bookmarkEnd w:id="2"/>
    <w:p w14:paraId="675A4E12" w14:textId="386F27B1" w:rsidR="004F5161" w:rsidRPr="000636BA" w:rsidRDefault="004F5161" w:rsidP="000636BA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 xml:space="preserve">В рамках решения задачи «Содействие развитию действующих субъектов малого и среднего предпринимательства и появлению новых субъектов малого и среднего предпринимательства» оказано </w:t>
      </w:r>
      <w:r w:rsidR="00373A4D" w:rsidRPr="000636BA">
        <w:rPr>
          <w:rFonts w:ascii="Times New Roman" w:hAnsi="Times New Roman" w:cs="Times New Roman"/>
          <w:sz w:val="26"/>
          <w:szCs w:val="26"/>
        </w:rPr>
        <w:t>3 455</w:t>
      </w:r>
      <w:r w:rsidRPr="000636BA">
        <w:rPr>
          <w:rFonts w:ascii="Times New Roman" w:hAnsi="Times New Roman" w:cs="Times New Roman"/>
          <w:sz w:val="26"/>
          <w:szCs w:val="26"/>
        </w:rPr>
        <w:t xml:space="preserve"> консультаци</w:t>
      </w:r>
      <w:r w:rsidR="00373A4D" w:rsidRPr="000636BA">
        <w:rPr>
          <w:rFonts w:ascii="Times New Roman" w:hAnsi="Times New Roman" w:cs="Times New Roman"/>
          <w:sz w:val="26"/>
          <w:szCs w:val="26"/>
        </w:rPr>
        <w:t>й</w:t>
      </w:r>
      <w:r w:rsidRPr="000636BA">
        <w:rPr>
          <w:rFonts w:ascii="Times New Roman" w:hAnsi="Times New Roman" w:cs="Times New Roman"/>
          <w:sz w:val="26"/>
          <w:szCs w:val="26"/>
        </w:rPr>
        <w:t xml:space="preserve"> и услуги, организовано и проведено </w:t>
      </w:r>
      <w:r w:rsidR="00373A4D" w:rsidRPr="000636BA">
        <w:rPr>
          <w:rFonts w:ascii="Times New Roman" w:hAnsi="Times New Roman" w:cs="Times New Roman"/>
          <w:sz w:val="26"/>
          <w:szCs w:val="26"/>
        </w:rPr>
        <w:t xml:space="preserve">549 </w:t>
      </w:r>
      <w:r w:rsidRPr="000636BA">
        <w:rPr>
          <w:rFonts w:ascii="Times New Roman" w:hAnsi="Times New Roman" w:cs="Times New Roman"/>
          <w:sz w:val="26"/>
          <w:szCs w:val="26"/>
        </w:rPr>
        <w:t>мероприятий, направленных на создание и развитие МСП, повышение инвестиционного и туристического потенциала. Количество новых субъектов МСП (в т.ч. самозанятых), получивших поддержку, составило 2</w:t>
      </w:r>
      <w:r w:rsidR="00373A4D" w:rsidRPr="000636BA">
        <w:rPr>
          <w:rFonts w:ascii="Times New Roman" w:hAnsi="Times New Roman" w:cs="Times New Roman"/>
          <w:sz w:val="26"/>
          <w:szCs w:val="26"/>
        </w:rPr>
        <w:t>65</w:t>
      </w:r>
      <w:r w:rsidRPr="000636BA">
        <w:rPr>
          <w:rFonts w:ascii="Times New Roman" w:hAnsi="Times New Roman" w:cs="Times New Roman"/>
          <w:sz w:val="26"/>
          <w:szCs w:val="26"/>
        </w:rPr>
        <w:t xml:space="preserve"> ед. Осуществлялся процесс обновления базы данных по субъектам МСП, подготовлен «Обзор малого и среднего предпринимательства в Череповце за 2023 год», </w:t>
      </w:r>
      <w:r w:rsidR="00456C48" w:rsidRPr="000636BA">
        <w:rPr>
          <w:rFonts w:ascii="Times New Roman" w:hAnsi="Times New Roman" w:cs="Times New Roman"/>
          <w:sz w:val="26"/>
          <w:szCs w:val="26"/>
        </w:rPr>
        <w:t>мониторинг МСП за 1-е полугодие 2024 года</w:t>
      </w:r>
      <w:r w:rsidR="00F928CF" w:rsidRPr="000636BA">
        <w:rPr>
          <w:rFonts w:ascii="Times New Roman" w:hAnsi="Times New Roman" w:cs="Times New Roman"/>
          <w:sz w:val="26"/>
          <w:szCs w:val="26"/>
        </w:rPr>
        <w:t xml:space="preserve"> </w:t>
      </w:r>
      <w:r w:rsidRPr="000636BA">
        <w:rPr>
          <w:rFonts w:ascii="Times New Roman" w:hAnsi="Times New Roman" w:cs="Times New Roman"/>
          <w:sz w:val="26"/>
          <w:szCs w:val="26"/>
        </w:rPr>
        <w:t xml:space="preserve">на регулярной основе готовятся отраслевые анализы. </w:t>
      </w:r>
    </w:p>
    <w:p w14:paraId="0E71E54E" w14:textId="470D1FA2" w:rsidR="004F5161" w:rsidRPr="000636BA" w:rsidRDefault="004F5161" w:rsidP="000636BA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 xml:space="preserve">Имущественная поддержка: утвержден перечень муниципального имущества, предназначенного для передачи во владение и пользование субъектам МСП и организациям, образующим инфраструктуру поддержки субъектов МСП,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 Общее количество объектов, включенных в перечень – 16, из них предоставлено в пользование </w:t>
      </w:r>
      <w:r w:rsidR="00F928CF" w:rsidRPr="000636BA">
        <w:rPr>
          <w:rFonts w:ascii="Times New Roman" w:hAnsi="Times New Roman" w:cs="Times New Roman"/>
          <w:sz w:val="26"/>
          <w:szCs w:val="26"/>
        </w:rPr>
        <w:t>9</w:t>
      </w:r>
      <w:r w:rsidRPr="000636BA">
        <w:rPr>
          <w:rFonts w:ascii="Times New Roman" w:hAnsi="Times New Roman" w:cs="Times New Roman"/>
          <w:sz w:val="26"/>
          <w:szCs w:val="26"/>
        </w:rPr>
        <w:t xml:space="preserve"> объектов недвижимости. </w:t>
      </w:r>
    </w:p>
    <w:p w14:paraId="61DE00A4" w14:textId="02B9BC11" w:rsidR="0033213A" w:rsidRPr="000636BA" w:rsidRDefault="0033213A" w:rsidP="000636B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Style w:val="2"/>
          <w:sz w:val="26"/>
          <w:szCs w:val="26"/>
        </w:rPr>
        <w:t>Мэрией города Череповца оказана финансовая поддержка в виде субсидий на возмещение части затрат на приобретение 2-х мобильных пунктов общественного питания.</w:t>
      </w:r>
    </w:p>
    <w:p w14:paraId="4AC8E938" w14:textId="77777777" w:rsidR="0033213A" w:rsidRPr="000636BA" w:rsidRDefault="0033213A" w:rsidP="000636BA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2769B55" w14:textId="37047964" w:rsidR="004F5161" w:rsidRPr="000636BA" w:rsidRDefault="004F5161" w:rsidP="000636BA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lastRenderedPageBreak/>
        <w:t xml:space="preserve">В рамках решения задачи «Стимулирование к расширению рынков сбыта, повышению конкурентоспособности субъектов малого и среднего предпринимательства» проведено </w:t>
      </w:r>
      <w:r w:rsidR="00F928CF" w:rsidRPr="000636BA">
        <w:rPr>
          <w:rFonts w:ascii="Times New Roman" w:hAnsi="Times New Roman" w:cs="Times New Roman"/>
          <w:sz w:val="26"/>
          <w:szCs w:val="26"/>
        </w:rPr>
        <w:t>27</w:t>
      </w:r>
      <w:r w:rsidRPr="000636BA">
        <w:rPr>
          <w:rFonts w:ascii="Times New Roman" w:hAnsi="Times New Roman" w:cs="Times New Roman"/>
          <w:sz w:val="26"/>
          <w:szCs w:val="26"/>
        </w:rPr>
        <w:t xml:space="preserve"> кооперационных встреч, семинар для поставщиков по государственным и муниципальным закупкам, оказано содействие АО «</w:t>
      </w:r>
      <w:proofErr w:type="spellStart"/>
      <w:r w:rsidRPr="000636BA">
        <w:rPr>
          <w:rFonts w:ascii="Times New Roman" w:hAnsi="Times New Roman" w:cs="Times New Roman"/>
          <w:sz w:val="26"/>
          <w:szCs w:val="26"/>
        </w:rPr>
        <w:t>Аппатит</w:t>
      </w:r>
      <w:proofErr w:type="spellEnd"/>
      <w:r w:rsidRPr="000636BA">
        <w:rPr>
          <w:rFonts w:ascii="Times New Roman" w:hAnsi="Times New Roman" w:cs="Times New Roman"/>
          <w:sz w:val="26"/>
          <w:szCs w:val="26"/>
        </w:rPr>
        <w:t xml:space="preserve">» в организации и проведении Дня подрядчика, организовано участие бизнеса в  Форуме по торгово-экономическому сотрудничеству между провинцией </w:t>
      </w:r>
      <w:proofErr w:type="spellStart"/>
      <w:r w:rsidRPr="000636BA">
        <w:rPr>
          <w:rFonts w:ascii="Times New Roman" w:hAnsi="Times New Roman" w:cs="Times New Roman"/>
          <w:sz w:val="26"/>
          <w:szCs w:val="26"/>
        </w:rPr>
        <w:t>Шэнси</w:t>
      </w:r>
      <w:proofErr w:type="spellEnd"/>
      <w:r w:rsidRPr="000636BA">
        <w:rPr>
          <w:rFonts w:ascii="Times New Roman" w:hAnsi="Times New Roman" w:cs="Times New Roman"/>
          <w:sz w:val="26"/>
          <w:szCs w:val="26"/>
        </w:rPr>
        <w:t xml:space="preserve"> (КНР) и РФ,</w:t>
      </w:r>
      <w:r w:rsidR="00847B7D" w:rsidRPr="000636BA">
        <w:rPr>
          <w:rFonts w:ascii="Times New Roman" w:hAnsi="Times New Roman" w:cs="Times New Roman"/>
          <w:sz w:val="26"/>
          <w:szCs w:val="26"/>
        </w:rPr>
        <w:t xml:space="preserve"> оказано содействие в  организации</w:t>
      </w:r>
      <w:r w:rsidR="00B00C14" w:rsidRPr="000636BA">
        <w:rPr>
          <w:rFonts w:ascii="Times New Roman" w:hAnsi="Times New Roman" w:cs="Times New Roman"/>
          <w:sz w:val="26"/>
          <w:szCs w:val="26"/>
        </w:rPr>
        <w:t xml:space="preserve"> визита</w:t>
      </w:r>
      <w:r w:rsidR="00847B7D" w:rsidRPr="000636BA">
        <w:rPr>
          <w:rFonts w:ascii="Times New Roman" w:hAnsi="Times New Roman" w:cs="Times New Roman"/>
          <w:sz w:val="26"/>
          <w:szCs w:val="26"/>
        </w:rPr>
        <w:t xml:space="preserve"> официальной делегации Провинции Цзянсу Китая в Вологодскую область</w:t>
      </w:r>
      <w:r w:rsidR="00B00C14" w:rsidRPr="000636BA">
        <w:rPr>
          <w:rFonts w:ascii="Times New Roman" w:hAnsi="Times New Roman" w:cs="Times New Roman"/>
          <w:sz w:val="26"/>
          <w:szCs w:val="26"/>
        </w:rPr>
        <w:t xml:space="preserve">, </w:t>
      </w:r>
      <w:r w:rsidR="00B9417E" w:rsidRPr="000636BA">
        <w:rPr>
          <w:rFonts w:ascii="Times New Roman" w:hAnsi="Times New Roman" w:cs="Times New Roman"/>
          <w:sz w:val="26"/>
          <w:szCs w:val="26"/>
        </w:rPr>
        <w:t>организован визит де</w:t>
      </w:r>
      <w:r w:rsidR="00D31213" w:rsidRPr="000636BA">
        <w:rPr>
          <w:rFonts w:ascii="Times New Roman" w:hAnsi="Times New Roman" w:cs="Times New Roman"/>
          <w:sz w:val="26"/>
          <w:szCs w:val="26"/>
        </w:rPr>
        <w:t>л</w:t>
      </w:r>
      <w:r w:rsidR="00B9417E" w:rsidRPr="000636BA">
        <w:rPr>
          <w:rFonts w:ascii="Times New Roman" w:hAnsi="Times New Roman" w:cs="Times New Roman"/>
          <w:sz w:val="26"/>
          <w:szCs w:val="26"/>
        </w:rPr>
        <w:t xml:space="preserve">егации КНР </w:t>
      </w:r>
      <w:r w:rsidR="00D31213" w:rsidRPr="000636BA">
        <w:rPr>
          <w:rFonts w:ascii="Times New Roman" w:hAnsi="Times New Roman" w:cs="Times New Roman"/>
          <w:sz w:val="26"/>
          <w:szCs w:val="26"/>
        </w:rPr>
        <w:t>на ООО «</w:t>
      </w:r>
      <w:r w:rsidR="00B9417E" w:rsidRPr="000636BA">
        <w:rPr>
          <w:rFonts w:ascii="Times New Roman" w:hAnsi="Times New Roman" w:cs="Times New Roman"/>
          <w:sz w:val="26"/>
          <w:szCs w:val="26"/>
        </w:rPr>
        <w:t>ТД ЧФМК</w:t>
      </w:r>
      <w:r w:rsidR="00D31213" w:rsidRPr="000636BA">
        <w:rPr>
          <w:rFonts w:ascii="Times New Roman" w:hAnsi="Times New Roman" w:cs="Times New Roman"/>
          <w:sz w:val="26"/>
          <w:szCs w:val="26"/>
        </w:rPr>
        <w:t>»</w:t>
      </w:r>
      <w:r w:rsidR="00AD1C25">
        <w:rPr>
          <w:rFonts w:ascii="Times New Roman" w:hAnsi="Times New Roman" w:cs="Times New Roman"/>
          <w:sz w:val="26"/>
          <w:szCs w:val="26"/>
        </w:rPr>
        <w:t>,</w:t>
      </w:r>
      <w:r w:rsidRPr="000636BA">
        <w:rPr>
          <w:rFonts w:ascii="Times New Roman" w:hAnsi="Times New Roman" w:cs="Times New Roman"/>
          <w:sz w:val="26"/>
          <w:szCs w:val="26"/>
        </w:rPr>
        <w:t xml:space="preserve"> осуществляется реализация проекта «Электронная бизнес-кооперация».</w:t>
      </w:r>
    </w:p>
    <w:p w14:paraId="5B31D5FB" w14:textId="77777777" w:rsidR="004F5161" w:rsidRPr="000636BA" w:rsidRDefault="004F5161" w:rsidP="000636BA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88282765"/>
      <w:r w:rsidRPr="000636BA">
        <w:rPr>
          <w:rFonts w:ascii="Times New Roman" w:hAnsi="Times New Roman" w:cs="Times New Roman"/>
          <w:sz w:val="26"/>
          <w:szCs w:val="26"/>
        </w:rPr>
        <w:t xml:space="preserve">В рамках решения задачи «Привлечение инвестиций в экономику города» </w:t>
      </w:r>
    </w:p>
    <w:p w14:paraId="21EAF0AD" w14:textId="29810A75" w:rsidR="004F5161" w:rsidRPr="000636BA" w:rsidRDefault="004F5161" w:rsidP="000636BA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 xml:space="preserve">действовал режим «одного окна» для инвесторов, работал инвестиционный портал и сайт Индустриального парка «Череповец». Объем заявленных инвесторами инвестиций составил </w:t>
      </w:r>
      <w:r w:rsidR="000D52A4" w:rsidRPr="000636BA">
        <w:rPr>
          <w:rFonts w:ascii="Times New Roman" w:hAnsi="Times New Roman" w:cs="Times New Roman"/>
          <w:sz w:val="26"/>
          <w:szCs w:val="26"/>
        </w:rPr>
        <w:t>2</w:t>
      </w:r>
      <w:r w:rsidRPr="000636BA">
        <w:rPr>
          <w:rFonts w:ascii="Times New Roman" w:hAnsi="Times New Roman" w:cs="Times New Roman"/>
          <w:sz w:val="26"/>
          <w:szCs w:val="26"/>
        </w:rPr>
        <w:t>3</w:t>
      </w:r>
      <w:r w:rsidR="000D52A4" w:rsidRPr="000636BA">
        <w:rPr>
          <w:rFonts w:ascii="Times New Roman" w:hAnsi="Times New Roman" w:cs="Times New Roman"/>
          <w:sz w:val="26"/>
          <w:szCs w:val="26"/>
        </w:rPr>
        <w:t xml:space="preserve"> 977</w:t>
      </w:r>
      <w:r w:rsidRPr="000636BA">
        <w:rPr>
          <w:rFonts w:ascii="Times New Roman" w:hAnsi="Times New Roman" w:cs="Times New Roman"/>
          <w:sz w:val="26"/>
          <w:szCs w:val="26"/>
        </w:rPr>
        <w:t>,</w:t>
      </w:r>
      <w:r w:rsidR="000D52A4" w:rsidRPr="000636BA">
        <w:rPr>
          <w:rFonts w:ascii="Times New Roman" w:hAnsi="Times New Roman" w:cs="Times New Roman"/>
          <w:sz w:val="26"/>
          <w:szCs w:val="26"/>
        </w:rPr>
        <w:t>665</w:t>
      </w:r>
      <w:r w:rsidRPr="000636BA">
        <w:rPr>
          <w:rFonts w:ascii="Times New Roman" w:hAnsi="Times New Roman" w:cs="Times New Roman"/>
          <w:sz w:val="26"/>
          <w:szCs w:val="26"/>
        </w:rPr>
        <w:t xml:space="preserve"> млн</w:t>
      </w:r>
      <w:r w:rsidR="000D52A4" w:rsidRPr="000636BA">
        <w:rPr>
          <w:rFonts w:ascii="Times New Roman" w:hAnsi="Times New Roman" w:cs="Times New Roman"/>
          <w:sz w:val="26"/>
          <w:szCs w:val="26"/>
        </w:rPr>
        <w:t>.</w:t>
      </w:r>
      <w:r w:rsidRPr="000636BA">
        <w:rPr>
          <w:rFonts w:ascii="Times New Roman" w:hAnsi="Times New Roman" w:cs="Times New Roman"/>
          <w:sz w:val="26"/>
          <w:szCs w:val="26"/>
        </w:rPr>
        <w:t xml:space="preserve"> рублей. На постоянной основе АНО АГР проводится мониторинг городских территорий (в том числе свободных от прав третьих лиц, высвобождаемых, неэффективно используемых) с целью включения их в инвестиционный процесс в качестве инвестиционных площадок, а также объектов, находящихся в муниципальной собственности города Череповца. Актуальная информация по существующим формам поддержки инвесторов представлена на порталах </w:t>
      </w:r>
      <w:hyperlink r:id="rId7" w:history="1">
        <w:r w:rsidRPr="000636BA">
          <w:rPr>
            <w:rStyle w:val="a5"/>
            <w:rFonts w:ascii="Times New Roman" w:hAnsi="Times New Roman" w:cs="Times New Roman"/>
            <w:sz w:val="26"/>
            <w:szCs w:val="26"/>
          </w:rPr>
          <w:t>https://agr-city.ru/</w:t>
        </w:r>
      </w:hyperlink>
      <w:r w:rsidRPr="000636B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0636BA">
          <w:rPr>
            <w:rStyle w:val="a5"/>
            <w:rFonts w:ascii="Times New Roman" w:hAnsi="Times New Roman" w:cs="Times New Roman"/>
            <w:sz w:val="26"/>
            <w:szCs w:val="26"/>
          </w:rPr>
          <w:t>http://ia-cher.ru/</w:t>
        </w:r>
      </w:hyperlink>
      <w:r w:rsidRPr="000636B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0636BA">
          <w:rPr>
            <w:rStyle w:val="a5"/>
            <w:rFonts w:ascii="Times New Roman" w:hAnsi="Times New Roman" w:cs="Times New Roman"/>
            <w:sz w:val="26"/>
            <w:szCs w:val="26"/>
          </w:rPr>
          <w:t>http://ipark.ia-cher.ru/;</w:t>
        </w:r>
      </w:hyperlink>
      <w:r w:rsidRPr="000636BA">
        <w:rPr>
          <w:rFonts w:ascii="Times New Roman" w:hAnsi="Times New Roman" w:cs="Times New Roman"/>
          <w:sz w:val="26"/>
          <w:szCs w:val="26"/>
        </w:rPr>
        <w:t xml:space="preserve"> актуализировалась информация на инвестиционной карте на сайте АНО АГР.</w:t>
      </w:r>
    </w:p>
    <w:bookmarkEnd w:id="3"/>
    <w:p w14:paraId="4D1FE54E" w14:textId="77777777" w:rsidR="004F5161" w:rsidRPr="009B2B40" w:rsidRDefault="004F5161" w:rsidP="000636BA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2B40">
        <w:rPr>
          <w:rFonts w:ascii="Times New Roman" w:hAnsi="Times New Roman" w:cs="Times New Roman"/>
          <w:sz w:val="26"/>
          <w:szCs w:val="26"/>
        </w:rPr>
        <w:t xml:space="preserve">В рамках решения задачи «Содействие в реализации инвестиционных </w:t>
      </w:r>
      <w:proofErr w:type="spellStart"/>
      <w:r w:rsidRPr="009B2B40">
        <w:rPr>
          <w:rFonts w:ascii="Times New Roman" w:hAnsi="Times New Roman" w:cs="Times New Roman"/>
          <w:sz w:val="26"/>
          <w:szCs w:val="26"/>
        </w:rPr>
        <w:t>проек</w:t>
      </w:r>
      <w:proofErr w:type="spellEnd"/>
      <w:r w:rsidRPr="009B2B40">
        <w:rPr>
          <w:rFonts w:ascii="Times New Roman" w:hAnsi="Times New Roman" w:cs="Times New Roman"/>
          <w:sz w:val="26"/>
          <w:szCs w:val="26"/>
        </w:rPr>
        <w:t>-</w:t>
      </w:r>
    </w:p>
    <w:p w14:paraId="5BACAD9D" w14:textId="03F5C0B6" w:rsidR="004F5161" w:rsidRPr="009B2B40" w:rsidRDefault="004F5161" w:rsidP="000636BA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2B40"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Pr="009B2B40">
        <w:rPr>
          <w:rFonts w:ascii="Times New Roman" w:hAnsi="Times New Roman" w:cs="Times New Roman"/>
          <w:sz w:val="26"/>
          <w:szCs w:val="26"/>
        </w:rPr>
        <w:t xml:space="preserve">» </w:t>
      </w:r>
      <w:r w:rsidR="00EF4D61" w:rsidRPr="009B2B40">
        <w:rPr>
          <w:rFonts w:ascii="Times New Roman" w:hAnsi="Times New Roman" w:cs="Times New Roman"/>
          <w:sz w:val="26"/>
          <w:szCs w:val="26"/>
        </w:rPr>
        <w:t xml:space="preserve">осуществлена работа по 65 проектам, в т.ч. проведена экспертиза 27 проектов, оказано содействие в реализации 5 проектов, реализуемых городом, 33 проекта в стадии проработки и сопровождения. </w:t>
      </w:r>
      <w:bookmarkStart w:id="4" w:name="_Hlk188880154"/>
      <w:r w:rsidRPr="009B2B40">
        <w:rPr>
          <w:rFonts w:ascii="Times New Roman" w:hAnsi="Times New Roman" w:cs="Times New Roman"/>
          <w:sz w:val="26"/>
          <w:szCs w:val="26"/>
        </w:rPr>
        <w:t xml:space="preserve">На регулярной основе проводился мониторинг Фонда МОНОГОРОДА.РФ, Торгово-промышленной палаты РФ, Вологодской Торгово-промышленной палаты, АО «Корпорация развития Вологодской области», сайт Ростуризма, Фонда развития промышленности, федеральный ресурс «Индустриальные парки и технопарки России», геоинформационная система «Индустриальные парки. Технопарки и кластеры»). </w:t>
      </w:r>
    </w:p>
    <w:bookmarkEnd w:id="4"/>
    <w:p w14:paraId="0A8D366E" w14:textId="77F5962F" w:rsidR="004F5161" w:rsidRPr="000636BA" w:rsidRDefault="004F5161" w:rsidP="000636BA">
      <w:pPr>
        <w:pStyle w:val="21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9B2B40">
        <w:rPr>
          <w:rStyle w:val="2"/>
          <w:sz w:val="26"/>
          <w:szCs w:val="26"/>
        </w:rPr>
        <w:t xml:space="preserve">Суммарное количество инвестиционных проектов, принятых к реализации на </w:t>
      </w:r>
      <w:r w:rsidRPr="000636BA">
        <w:rPr>
          <w:rStyle w:val="2"/>
          <w:sz w:val="26"/>
          <w:szCs w:val="26"/>
        </w:rPr>
        <w:t xml:space="preserve">инвестиционном совете </w:t>
      </w:r>
      <w:r w:rsidR="00DF3D92" w:rsidRPr="000636BA">
        <w:rPr>
          <w:rStyle w:val="2"/>
          <w:sz w:val="26"/>
          <w:szCs w:val="26"/>
        </w:rPr>
        <w:t xml:space="preserve">нарастающим итогом </w:t>
      </w:r>
      <w:r w:rsidRPr="000636BA">
        <w:rPr>
          <w:rStyle w:val="2"/>
          <w:sz w:val="26"/>
          <w:szCs w:val="26"/>
        </w:rPr>
        <w:t xml:space="preserve">составило </w:t>
      </w:r>
      <w:r w:rsidR="00DF3D92" w:rsidRPr="000636BA">
        <w:rPr>
          <w:rStyle w:val="2"/>
          <w:sz w:val="26"/>
          <w:szCs w:val="26"/>
        </w:rPr>
        <w:t>74</w:t>
      </w:r>
      <w:r w:rsidRPr="000636BA">
        <w:rPr>
          <w:rStyle w:val="2"/>
          <w:sz w:val="26"/>
          <w:szCs w:val="26"/>
        </w:rPr>
        <w:t xml:space="preserve"> единиц</w:t>
      </w:r>
      <w:r w:rsidR="00DF3D92" w:rsidRPr="000636BA">
        <w:rPr>
          <w:rStyle w:val="2"/>
          <w:sz w:val="26"/>
          <w:szCs w:val="26"/>
        </w:rPr>
        <w:t>ы</w:t>
      </w:r>
      <w:r w:rsidRPr="000636BA">
        <w:rPr>
          <w:rStyle w:val="2"/>
          <w:sz w:val="26"/>
          <w:szCs w:val="26"/>
        </w:rPr>
        <w:t>.</w:t>
      </w:r>
    </w:p>
    <w:p w14:paraId="666DDDFE" w14:textId="52861377" w:rsidR="004F5161" w:rsidRPr="000636BA" w:rsidRDefault="004F5161" w:rsidP="000636BA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 xml:space="preserve">В рамках решения задачи «Формирование положительного инвестиционного и туристического имиджа города» городом предлагалось 50 инвестиционных площадок, поддерживался инвестиционный портал, сайт Индустриального парка, сайт поддержки малого и среднего предпринимательства Агентства Городского Развития, вкладки «Туризм» на  официальном сайте города, туристического портала; подготовлены и выпущено </w:t>
      </w:r>
      <w:r w:rsidR="00A7177D" w:rsidRPr="000636BA">
        <w:rPr>
          <w:rFonts w:ascii="Times New Roman" w:hAnsi="Times New Roman" w:cs="Times New Roman"/>
          <w:sz w:val="26"/>
          <w:szCs w:val="26"/>
        </w:rPr>
        <w:t>2</w:t>
      </w:r>
      <w:r w:rsidRPr="000636BA">
        <w:rPr>
          <w:rFonts w:ascii="Times New Roman" w:hAnsi="Times New Roman" w:cs="Times New Roman"/>
          <w:sz w:val="26"/>
          <w:szCs w:val="26"/>
        </w:rPr>
        <w:t xml:space="preserve">17 пресс-релизов, рассказывающих о развитии МСП, инвестиционного и туристического потенциала, разработана концепция технопарка и концепция НТЦ с </w:t>
      </w:r>
      <w:proofErr w:type="spellStart"/>
      <w:r w:rsidRPr="000636BA">
        <w:rPr>
          <w:rFonts w:ascii="Times New Roman" w:hAnsi="Times New Roman" w:cs="Times New Roman"/>
          <w:sz w:val="26"/>
          <w:szCs w:val="26"/>
        </w:rPr>
        <w:t>инвестпредложением</w:t>
      </w:r>
      <w:proofErr w:type="spellEnd"/>
      <w:r w:rsidRPr="000636BA">
        <w:rPr>
          <w:rFonts w:ascii="Times New Roman" w:hAnsi="Times New Roman" w:cs="Times New Roman"/>
          <w:sz w:val="26"/>
          <w:szCs w:val="26"/>
        </w:rPr>
        <w:t xml:space="preserve"> развития территорий, проведено награждение в рамках Дня российского предпринимательства, награждение победителей конкурса Новогодних витрин.</w:t>
      </w:r>
    </w:p>
    <w:p w14:paraId="1FEA56C8" w14:textId="4BE31927" w:rsidR="004F5161" w:rsidRPr="000636BA" w:rsidRDefault="004F5161" w:rsidP="000636BA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 xml:space="preserve">В рамках решения задачи «Снижение административных барьеров, повышение качества муниципального регулирования в сфере малого и среднего предпринимательства» осуществлялось вовлечение бизнес-сообщества в процесс правового регулирования через проведение оценки регулирующего воздействия проектов нормативных правовых актов города Череповца и экспертизу действующих нормативно-правовых актов (далее – НПА). Подготовлено </w:t>
      </w:r>
      <w:r w:rsidR="00A7177D" w:rsidRPr="000636BA">
        <w:rPr>
          <w:rFonts w:ascii="Times New Roman" w:hAnsi="Times New Roman" w:cs="Times New Roman"/>
          <w:sz w:val="26"/>
          <w:szCs w:val="26"/>
        </w:rPr>
        <w:t>51</w:t>
      </w:r>
      <w:r w:rsidRPr="000636BA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1C25">
        <w:rPr>
          <w:rFonts w:ascii="Times New Roman" w:hAnsi="Times New Roman" w:cs="Times New Roman"/>
          <w:sz w:val="26"/>
          <w:szCs w:val="26"/>
        </w:rPr>
        <w:t>е</w:t>
      </w:r>
      <w:r w:rsidRPr="000636BA">
        <w:rPr>
          <w:rFonts w:ascii="Times New Roman" w:hAnsi="Times New Roman" w:cs="Times New Roman"/>
          <w:sz w:val="26"/>
          <w:szCs w:val="26"/>
        </w:rPr>
        <w:t xml:space="preserve"> об ОРВ и </w:t>
      </w:r>
      <w:r w:rsidR="00A7177D" w:rsidRPr="000636BA">
        <w:rPr>
          <w:rFonts w:ascii="Times New Roman" w:hAnsi="Times New Roman" w:cs="Times New Roman"/>
          <w:sz w:val="26"/>
          <w:szCs w:val="26"/>
        </w:rPr>
        <w:t>3</w:t>
      </w:r>
      <w:r w:rsidRPr="000636BA">
        <w:rPr>
          <w:rFonts w:ascii="Times New Roman" w:hAnsi="Times New Roman" w:cs="Times New Roman"/>
          <w:sz w:val="26"/>
          <w:szCs w:val="26"/>
        </w:rPr>
        <w:t xml:space="preserve"> заключения по итогам проведения экспертизы. В рамках проведения экспертизы направлялись запросы в адрес организаций и лиц, целью деятельности которых является защита и предоставление интересов субъектов предпринимательской </w:t>
      </w:r>
      <w:r w:rsidRPr="000636BA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деятельности, размещалась информация в официальной группе мэрии города </w:t>
      </w:r>
      <w:r w:rsidR="00AD1C25">
        <w:rPr>
          <w:rFonts w:ascii="Times New Roman" w:hAnsi="Times New Roman" w:cs="Times New Roman"/>
          <w:sz w:val="26"/>
          <w:szCs w:val="26"/>
        </w:rPr>
        <w:t>в</w:t>
      </w:r>
      <w:r w:rsidRPr="000636BA">
        <w:rPr>
          <w:rFonts w:ascii="Times New Roman" w:hAnsi="Times New Roman" w:cs="Times New Roman"/>
          <w:sz w:val="26"/>
          <w:szCs w:val="26"/>
        </w:rPr>
        <w:t xml:space="preserve"> социальной сети </w:t>
      </w:r>
      <w:proofErr w:type="spellStart"/>
      <w:r w:rsidRPr="000636BA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0636B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0636BA">
        <w:rPr>
          <w:rFonts w:ascii="Times New Roman" w:hAnsi="Times New Roman" w:cs="Times New Roman"/>
          <w:sz w:val="26"/>
          <w:szCs w:val="26"/>
        </w:rPr>
        <w:t xml:space="preserve"> Обращений от бизнеса об избыточном и/или негативном влиянии принятых НПА на ведение предпринимательской деятельности не поступало. По итогам рейтинга муниципальных образований Вологодской области по качеству проведения оценки регулирующего воздействия и экспертизы муниципальных правовых актов за 202</w:t>
      </w:r>
      <w:r w:rsidR="003806F5" w:rsidRPr="000636BA">
        <w:rPr>
          <w:rFonts w:ascii="Times New Roman" w:hAnsi="Times New Roman" w:cs="Times New Roman"/>
          <w:sz w:val="26"/>
          <w:szCs w:val="26"/>
        </w:rPr>
        <w:t>4</w:t>
      </w:r>
      <w:r w:rsidRPr="000636BA">
        <w:rPr>
          <w:rFonts w:ascii="Times New Roman" w:hAnsi="Times New Roman" w:cs="Times New Roman"/>
          <w:sz w:val="26"/>
          <w:szCs w:val="26"/>
        </w:rPr>
        <w:t xml:space="preserve"> год Городу Череповцу присвоено 2-ое место</w:t>
      </w:r>
      <w:r w:rsidR="003806F5" w:rsidRPr="000636BA">
        <w:rPr>
          <w:rFonts w:ascii="Times New Roman" w:hAnsi="Times New Roman" w:cs="Times New Roman"/>
          <w:sz w:val="26"/>
          <w:szCs w:val="26"/>
        </w:rPr>
        <w:t xml:space="preserve"> (по данным на 01.09.2024)</w:t>
      </w:r>
    </w:p>
    <w:p w14:paraId="7C0FF3A5" w14:textId="35923BE1" w:rsidR="004F5161" w:rsidRPr="000636BA" w:rsidRDefault="004F5161" w:rsidP="000636B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 xml:space="preserve">С целью построения эффективного взаимодействия бизнеса и власти проведено </w:t>
      </w:r>
      <w:r w:rsidR="007A3C47" w:rsidRPr="000636BA">
        <w:rPr>
          <w:rFonts w:ascii="Times New Roman" w:hAnsi="Times New Roman" w:cs="Times New Roman"/>
          <w:sz w:val="26"/>
          <w:szCs w:val="26"/>
        </w:rPr>
        <w:t>3</w:t>
      </w:r>
      <w:r w:rsidRPr="000636BA">
        <w:rPr>
          <w:rFonts w:ascii="Times New Roman" w:hAnsi="Times New Roman" w:cs="Times New Roman"/>
          <w:sz w:val="26"/>
          <w:szCs w:val="26"/>
        </w:rPr>
        <w:t xml:space="preserve"> Совета предпринимателей под руководством мэра города, </w:t>
      </w:r>
      <w:r w:rsidR="007A3C47" w:rsidRPr="000636BA">
        <w:rPr>
          <w:rFonts w:ascii="Times New Roman" w:hAnsi="Times New Roman" w:cs="Times New Roman"/>
          <w:sz w:val="26"/>
          <w:szCs w:val="26"/>
        </w:rPr>
        <w:t xml:space="preserve">Экспертный бизнес-совет, </w:t>
      </w:r>
      <w:r w:rsidRPr="000636BA">
        <w:rPr>
          <w:rFonts w:ascii="Times New Roman" w:hAnsi="Times New Roman" w:cs="Times New Roman"/>
          <w:sz w:val="26"/>
          <w:szCs w:val="26"/>
        </w:rPr>
        <w:t>Инвестиционны</w:t>
      </w:r>
      <w:r w:rsidR="0033307B" w:rsidRPr="000636BA">
        <w:rPr>
          <w:rFonts w:ascii="Times New Roman" w:hAnsi="Times New Roman" w:cs="Times New Roman"/>
          <w:sz w:val="26"/>
          <w:szCs w:val="26"/>
        </w:rPr>
        <w:t>е</w:t>
      </w:r>
      <w:r w:rsidRPr="000636BA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33307B" w:rsidRPr="000636BA">
        <w:rPr>
          <w:rFonts w:ascii="Times New Roman" w:hAnsi="Times New Roman" w:cs="Times New Roman"/>
          <w:sz w:val="26"/>
          <w:szCs w:val="26"/>
        </w:rPr>
        <w:t>ы</w:t>
      </w:r>
      <w:r w:rsidRPr="000636BA">
        <w:rPr>
          <w:rFonts w:ascii="Times New Roman" w:hAnsi="Times New Roman" w:cs="Times New Roman"/>
          <w:sz w:val="26"/>
          <w:szCs w:val="26"/>
        </w:rPr>
        <w:t xml:space="preserve"> и другие встречи.</w:t>
      </w:r>
    </w:p>
    <w:p w14:paraId="0B02FB9A" w14:textId="6248D64A" w:rsidR="004F5161" w:rsidRPr="000636BA" w:rsidRDefault="004F5161" w:rsidP="000636B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 xml:space="preserve">8. В рамках решения задачи «Развитие внутреннего и въездного туризма» в структуре Агентства Городского Развития работает туристско-информационный центр, которым оказано </w:t>
      </w:r>
      <w:r w:rsidR="0033307B" w:rsidRPr="000636BA">
        <w:rPr>
          <w:rFonts w:ascii="Times New Roman" w:hAnsi="Times New Roman" w:cs="Times New Roman"/>
          <w:sz w:val="26"/>
          <w:szCs w:val="26"/>
        </w:rPr>
        <w:t>765</w:t>
      </w:r>
      <w:r w:rsidRPr="000636BA">
        <w:rPr>
          <w:rFonts w:ascii="Times New Roman" w:hAnsi="Times New Roman" w:cs="Times New Roman"/>
          <w:sz w:val="26"/>
          <w:szCs w:val="26"/>
        </w:rPr>
        <w:t xml:space="preserve"> консультаций по вопросам туристического профиля. Поддерживается работа интерактивного </w:t>
      </w:r>
      <w:proofErr w:type="spellStart"/>
      <w:r w:rsidRPr="000636BA">
        <w:rPr>
          <w:rFonts w:ascii="Times New Roman" w:hAnsi="Times New Roman" w:cs="Times New Roman"/>
          <w:sz w:val="26"/>
          <w:szCs w:val="26"/>
        </w:rPr>
        <w:t>турконструктора</w:t>
      </w:r>
      <w:proofErr w:type="spellEnd"/>
      <w:r w:rsidRPr="000636BA">
        <w:rPr>
          <w:rFonts w:ascii="Times New Roman" w:hAnsi="Times New Roman" w:cs="Times New Roman"/>
          <w:sz w:val="26"/>
          <w:szCs w:val="26"/>
        </w:rPr>
        <w:t xml:space="preserve">, проведено </w:t>
      </w:r>
      <w:r w:rsidR="0033307B" w:rsidRPr="000636BA">
        <w:rPr>
          <w:rFonts w:ascii="Times New Roman" w:hAnsi="Times New Roman" w:cs="Times New Roman"/>
          <w:sz w:val="26"/>
          <w:szCs w:val="26"/>
        </w:rPr>
        <w:t>120</w:t>
      </w:r>
      <w:r w:rsidRPr="000636BA">
        <w:rPr>
          <w:rFonts w:ascii="Times New Roman" w:hAnsi="Times New Roman" w:cs="Times New Roman"/>
          <w:sz w:val="26"/>
          <w:szCs w:val="26"/>
        </w:rPr>
        <w:t xml:space="preserve"> мероприятий туристического профиля. Количество туристов, посетивших город составило </w:t>
      </w:r>
      <w:r w:rsidR="00EF279B" w:rsidRPr="000636BA">
        <w:rPr>
          <w:rFonts w:ascii="Times New Roman" w:hAnsi="Times New Roman" w:cs="Times New Roman"/>
          <w:sz w:val="26"/>
          <w:szCs w:val="26"/>
        </w:rPr>
        <w:t>115,42</w:t>
      </w:r>
      <w:r w:rsidR="00AD1C25">
        <w:rPr>
          <w:rFonts w:ascii="Times New Roman" w:hAnsi="Times New Roman" w:cs="Times New Roman"/>
          <w:sz w:val="26"/>
          <w:szCs w:val="26"/>
        </w:rPr>
        <w:t>1</w:t>
      </w:r>
      <w:r w:rsidRPr="000636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636BA">
        <w:rPr>
          <w:rFonts w:ascii="Times New Roman" w:hAnsi="Times New Roman" w:cs="Times New Roman"/>
          <w:sz w:val="26"/>
          <w:szCs w:val="26"/>
        </w:rPr>
        <w:t>тыс.человек</w:t>
      </w:r>
      <w:proofErr w:type="spellEnd"/>
      <w:proofErr w:type="gramEnd"/>
      <w:r w:rsidRPr="000636BA">
        <w:rPr>
          <w:rFonts w:ascii="Times New Roman" w:hAnsi="Times New Roman" w:cs="Times New Roman"/>
          <w:sz w:val="26"/>
          <w:szCs w:val="26"/>
        </w:rPr>
        <w:t>.</w:t>
      </w:r>
    </w:p>
    <w:p w14:paraId="0C7B03C3" w14:textId="2FF38D62" w:rsidR="004F5161" w:rsidRPr="000636BA" w:rsidRDefault="004F5161" w:rsidP="000636BA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sz w:val="26"/>
          <w:szCs w:val="26"/>
        </w:rPr>
      </w:pPr>
      <w:r w:rsidRPr="000636BA">
        <w:rPr>
          <w:rFonts w:eastAsia="Calibri"/>
          <w:bCs/>
          <w:sz w:val="26"/>
          <w:szCs w:val="26"/>
        </w:rPr>
        <w:t>Сведения о достижении значений целевых показателей (индикаторов), в 2024 году отражены в приложении 1 к отчету.</w:t>
      </w:r>
    </w:p>
    <w:p w14:paraId="664C07E2" w14:textId="77777777" w:rsidR="004F5161" w:rsidRPr="000636BA" w:rsidRDefault="004F5161" w:rsidP="000636BA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DD76436" w14:textId="77777777" w:rsidR="004F5161" w:rsidRPr="000636BA" w:rsidRDefault="004F5161" w:rsidP="000636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Непосредственные результаты реализации основных мероприятий</w:t>
      </w:r>
    </w:p>
    <w:p w14:paraId="1B2C2FCE" w14:textId="74E68B84" w:rsidR="004F5161" w:rsidRPr="000636BA" w:rsidRDefault="004F5161" w:rsidP="000636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Программы, достигнутые за 2024 год.</w:t>
      </w:r>
    </w:p>
    <w:p w14:paraId="0932B08E" w14:textId="77777777" w:rsidR="004F5161" w:rsidRPr="000636BA" w:rsidRDefault="004F5161" w:rsidP="000636BA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8ABEC55" w14:textId="77777777" w:rsidR="004F5161" w:rsidRPr="000636BA" w:rsidRDefault="004F5161" w:rsidP="000636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636BA">
        <w:rPr>
          <w:rFonts w:ascii="Times New Roman" w:eastAsia="Calibri" w:hAnsi="Times New Roman" w:cs="Times New Roman"/>
          <w:bCs/>
          <w:sz w:val="26"/>
          <w:szCs w:val="26"/>
        </w:rPr>
        <w:t xml:space="preserve">Сведения о степени выполнения основных мероприятий Программы отражены в приложении 2 к отчету. </w:t>
      </w:r>
    </w:p>
    <w:p w14:paraId="76967448" w14:textId="77777777" w:rsidR="004F5161" w:rsidRPr="000636BA" w:rsidRDefault="004F5161" w:rsidP="000636B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F7F4A8" w14:textId="241D4F2D" w:rsidR="004F5161" w:rsidRPr="000636BA" w:rsidRDefault="004F5161" w:rsidP="0006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Результаты использования бюджетных ассигнований городского бюджета и иных средств на реализацию Программы </w:t>
      </w:r>
      <w:r w:rsidRPr="000636BA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DC1A5A" w:rsidRPr="000636BA">
        <w:rPr>
          <w:rFonts w:ascii="Times New Roman" w:hAnsi="Times New Roman" w:cs="Times New Roman"/>
          <w:sz w:val="26"/>
          <w:szCs w:val="26"/>
        </w:rPr>
        <w:t>31 декабря</w:t>
      </w:r>
      <w:r w:rsidRPr="000636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14:paraId="3771864E" w14:textId="77777777" w:rsidR="004F5161" w:rsidRPr="000636BA" w:rsidRDefault="004F5161" w:rsidP="0006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3A3DCC" w14:textId="77777777" w:rsidR="004F5161" w:rsidRPr="008E568A" w:rsidRDefault="004F5161" w:rsidP="0006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использовании бюджетных ассигнований городского бюджета на реализацию Программы</w:t>
      </w:r>
      <w:r w:rsidRPr="000636BA">
        <w:rPr>
          <w:rFonts w:ascii="Times New Roman" w:eastAsia="Times New Roman" w:hAnsi="Times New Roman" w:cs="Times New Roman"/>
          <w:sz w:val="26"/>
          <w:szCs w:val="26"/>
        </w:rPr>
        <w:t xml:space="preserve"> и информация о расходах городского, федерального, </w:t>
      </w:r>
      <w:r w:rsidRPr="008E568A">
        <w:rPr>
          <w:rFonts w:ascii="Times New Roman" w:eastAsia="Times New Roman" w:hAnsi="Times New Roman" w:cs="Times New Roman"/>
          <w:sz w:val="26"/>
          <w:szCs w:val="26"/>
        </w:rPr>
        <w:t>областного бюджетов, внебюджетных источников на реализацию целей Программы города представлены в Приложениях 3,4 к отчету</w:t>
      </w:r>
      <w:r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617E51" w14:textId="45AC5A5D" w:rsidR="004F5161" w:rsidRPr="008E568A" w:rsidRDefault="004F5161" w:rsidP="0006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2024 год на реализацию Программы </w:t>
      </w:r>
      <w:r w:rsidR="00866525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бюджетных средств </w:t>
      </w:r>
      <w:r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предусмотрено </w:t>
      </w:r>
      <w:r w:rsidR="009B12E8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освоено </w:t>
      </w:r>
      <w:r w:rsidR="00866525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36 367,0 тыс. рублей, в </w:t>
      </w:r>
      <w:proofErr w:type="spellStart"/>
      <w:r w:rsidR="00866525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866525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 счет средств городского бюджета - </w:t>
      </w:r>
      <w:r w:rsidR="009B12E8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>35 487</w:t>
      </w:r>
      <w:r w:rsidR="00DC1A5A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866525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счет средств областного бюджета - 880,0 тыс. рублей. </w:t>
      </w:r>
      <w:r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внебюджетных источников предусмотрено</w:t>
      </w:r>
      <w:r w:rsidR="009B12E8"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освоено</w:t>
      </w:r>
      <w:r w:rsidRPr="008E5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4 649,0 тыс. руб.</w:t>
      </w:r>
    </w:p>
    <w:p w14:paraId="3937E702" w14:textId="77777777" w:rsidR="004F5161" w:rsidRPr="008E568A" w:rsidRDefault="004F5161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16D4ED32" w14:textId="5C0F6419" w:rsidR="00111B57" w:rsidRPr="008E568A" w:rsidRDefault="000150B0" w:rsidP="0006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hAnsi="Times New Roman" w:cs="Times New Roman"/>
          <w:sz w:val="26"/>
          <w:szCs w:val="26"/>
        </w:rPr>
        <w:t>Свед</w:t>
      </w:r>
      <w:r w:rsidR="00111B57" w:rsidRPr="008E568A">
        <w:rPr>
          <w:rFonts w:ascii="Times New Roman" w:hAnsi="Times New Roman" w:cs="Times New Roman"/>
          <w:sz w:val="26"/>
          <w:szCs w:val="26"/>
        </w:rPr>
        <w:t>е</w:t>
      </w:r>
      <w:r w:rsidRPr="008E568A">
        <w:rPr>
          <w:rFonts w:ascii="Times New Roman" w:hAnsi="Times New Roman" w:cs="Times New Roman"/>
          <w:sz w:val="26"/>
          <w:szCs w:val="26"/>
        </w:rPr>
        <w:t>ния о результатах меропр</w:t>
      </w:r>
      <w:r w:rsidR="005E4B2B" w:rsidRPr="008E568A">
        <w:rPr>
          <w:rFonts w:ascii="Times New Roman" w:hAnsi="Times New Roman" w:cs="Times New Roman"/>
          <w:sz w:val="26"/>
          <w:szCs w:val="26"/>
        </w:rPr>
        <w:t>и</w:t>
      </w:r>
      <w:r w:rsidRPr="008E568A">
        <w:rPr>
          <w:rFonts w:ascii="Times New Roman" w:hAnsi="Times New Roman" w:cs="Times New Roman"/>
          <w:sz w:val="26"/>
          <w:szCs w:val="26"/>
        </w:rPr>
        <w:t>ятий внутренне</w:t>
      </w:r>
      <w:r w:rsidR="005E4B2B" w:rsidRPr="008E568A">
        <w:rPr>
          <w:rFonts w:ascii="Times New Roman" w:hAnsi="Times New Roman" w:cs="Times New Roman"/>
          <w:sz w:val="26"/>
          <w:szCs w:val="26"/>
        </w:rPr>
        <w:t>го</w:t>
      </w:r>
      <w:r w:rsidRPr="008E568A">
        <w:rPr>
          <w:rFonts w:ascii="Times New Roman" w:hAnsi="Times New Roman" w:cs="Times New Roman"/>
          <w:sz w:val="26"/>
          <w:szCs w:val="26"/>
        </w:rPr>
        <w:t xml:space="preserve"> и внешнего муниципального </w:t>
      </w:r>
      <w:r w:rsidR="00111B57" w:rsidRPr="008E568A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Pr="008E568A">
        <w:rPr>
          <w:rFonts w:ascii="Times New Roman" w:hAnsi="Times New Roman" w:cs="Times New Roman"/>
          <w:sz w:val="26"/>
          <w:szCs w:val="26"/>
        </w:rPr>
        <w:t>контроля</w:t>
      </w:r>
      <w:r w:rsidR="00111B57" w:rsidRPr="008E568A">
        <w:rPr>
          <w:rFonts w:ascii="Times New Roman" w:hAnsi="Times New Roman" w:cs="Times New Roman"/>
          <w:sz w:val="26"/>
          <w:szCs w:val="26"/>
        </w:rPr>
        <w:t xml:space="preserve"> (при наличии) в отношении муниципальных программ, проводимых в рамках своих полномочи</w:t>
      </w:r>
      <w:r w:rsidR="005E4B2B" w:rsidRPr="008E568A">
        <w:rPr>
          <w:rFonts w:ascii="Times New Roman" w:hAnsi="Times New Roman" w:cs="Times New Roman"/>
          <w:sz w:val="26"/>
          <w:szCs w:val="26"/>
        </w:rPr>
        <w:t>й</w:t>
      </w:r>
      <w:r w:rsidR="00111B57" w:rsidRPr="008E568A">
        <w:rPr>
          <w:rFonts w:ascii="Times New Roman" w:hAnsi="Times New Roman" w:cs="Times New Roman"/>
          <w:sz w:val="26"/>
          <w:szCs w:val="26"/>
        </w:rPr>
        <w:t xml:space="preserve"> органами внутреннего и внешнего финансового контроля</w:t>
      </w:r>
    </w:p>
    <w:p w14:paraId="0398C0AF" w14:textId="557FFEAE" w:rsidR="004F4D98" w:rsidRPr="008E568A" w:rsidRDefault="004F4D98" w:rsidP="0006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DE78A9E" w14:textId="77777777" w:rsidR="00E13847" w:rsidRDefault="0019501D" w:rsidP="00063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eastAsia="Times New Roman" w:hAnsi="Times New Roman" w:cs="Times New Roman"/>
          <w:sz w:val="26"/>
          <w:szCs w:val="26"/>
        </w:rPr>
        <w:t>В соответс</w:t>
      </w:r>
      <w:r w:rsidR="00E13847" w:rsidRPr="008E56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8E568A">
        <w:rPr>
          <w:rFonts w:ascii="Times New Roman" w:eastAsia="Times New Roman" w:hAnsi="Times New Roman" w:cs="Times New Roman"/>
          <w:sz w:val="26"/>
          <w:szCs w:val="26"/>
        </w:rPr>
        <w:t xml:space="preserve">вии с </w:t>
      </w:r>
      <w:r w:rsidRPr="008E56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планом контрольных мероприятий по внутреннему </w:t>
      </w:r>
      <w:r w:rsidRPr="00E13847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муниципальному финансовому контролю на 2024 год, утвержденн</w:t>
      </w:r>
      <w:r w:rsidR="00E13847">
        <w:rPr>
          <w:rFonts w:ascii="Times New Roman" w:hAnsi="Times New Roman" w:cs="Times New Roman"/>
          <w:sz w:val="26"/>
          <w:szCs w:val="26"/>
          <w:shd w:val="clear" w:color="auto" w:fill="FFFFFF"/>
        </w:rPr>
        <w:t>ому</w:t>
      </w:r>
      <w:r w:rsidRPr="00E138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мэрии города от 18.12.2023 № 3726, в</w:t>
      </w:r>
      <w:r w:rsidR="00FF5D46" w:rsidRPr="00E13847">
        <w:rPr>
          <w:rFonts w:ascii="Times New Roman" w:eastAsia="Times New Roman" w:hAnsi="Times New Roman" w:cs="Times New Roman"/>
          <w:sz w:val="26"/>
          <w:szCs w:val="26"/>
        </w:rPr>
        <w:t xml:space="preserve"> 2024 году </w:t>
      </w:r>
      <w:r w:rsidRPr="00E13847">
        <w:rPr>
          <w:rFonts w:ascii="Times New Roman" w:eastAsia="Times New Roman" w:hAnsi="Times New Roman" w:cs="Times New Roman"/>
          <w:sz w:val="26"/>
          <w:szCs w:val="26"/>
        </w:rPr>
        <w:t xml:space="preserve">контрольно-правовым управлением мэрии города </w:t>
      </w:r>
      <w:r w:rsidR="00E13847">
        <w:rPr>
          <w:rFonts w:ascii="Times New Roman" w:eastAsia="Times New Roman" w:hAnsi="Times New Roman" w:cs="Times New Roman"/>
          <w:sz w:val="26"/>
          <w:szCs w:val="26"/>
        </w:rPr>
        <w:t xml:space="preserve">в АНО АГР </w:t>
      </w:r>
      <w:r w:rsidRPr="00E13847">
        <w:rPr>
          <w:rFonts w:ascii="Times New Roman" w:eastAsia="Times New Roman" w:hAnsi="Times New Roman" w:cs="Times New Roman"/>
          <w:sz w:val="26"/>
          <w:szCs w:val="26"/>
        </w:rPr>
        <w:t xml:space="preserve">проведена выездная проверка осуществления расходов городского бюджета на реализацию основного </w:t>
      </w:r>
      <w:r w:rsidR="00FF5D46" w:rsidRPr="00E1384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E13847">
        <w:rPr>
          <w:rFonts w:ascii="Times New Roman" w:hAnsi="Times New Roman" w:cs="Times New Roman"/>
          <w:sz w:val="26"/>
          <w:szCs w:val="26"/>
        </w:rPr>
        <w:t>1 «Формирование инфраструктуры поддержки МСП»</w:t>
      </w:r>
      <w:r w:rsidR="00E1384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EF7C44" w14:textId="1D1A0FBF" w:rsidR="00FF5D46" w:rsidRPr="00E13847" w:rsidRDefault="00E13847" w:rsidP="000636B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проверки нарушения не установлены.</w:t>
      </w:r>
    </w:p>
    <w:p w14:paraId="2A5A2CC2" w14:textId="753932EA" w:rsidR="00FF5D46" w:rsidRDefault="00FF5D46" w:rsidP="00063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E632016" w14:textId="77777777" w:rsidR="00E13847" w:rsidRPr="000636BA" w:rsidRDefault="00E13847" w:rsidP="00063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57699FD" w14:textId="51F54FF3" w:rsidR="002C39CF" w:rsidRDefault="004F4D98" w:rsidP="0006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lastRenderedPageBreak/>
        <w:t>Анализ факторов, повлиявших на ход реализации муниципальной программы</w:t>
      </w:r>
      <w:r w:rsidR="002C39CF" w:rsidRPr="000636BA">
        <w:rPr>
          <w:rFonts w:ascii="Times New Roman" w:hAnsi="Times New Roman" w:cs="Times New Roman"/>
          <w:sz w:val="26"/>
          <w:szCs w:val="26"/>
        </w:rPr>
        <w:t>, и информацию о внесенных ответственным исполнителем в отчетном финансовом году изменениях в муниципальную программу с указанием причин</w:t>
      </w:r>
    </w:p>
    <w:p w14:paraId="4B08F518" w14:textId="77777777" w:rsidR="0019501D" w:rsidRPr="000636BA" w:rsidRDefault="0019501D" w:rsidP="0006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F2335C" w14:textId="7776DAD5" w:rsidR="009B7DA5" w:rsidRPr="000636BA" w:rsidRDefault="008A21F0" w:rsidP="0006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0" w:anchor="/document/409434649/entry/0" w:history="1">
        <w:r w:rsidR="009B7DA5" w:rsidRPr="000636B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9B7DA5" w:rsidRPr="000636BA">
        <w:rPr>
          <w:rFonts w:ascii="Times New Roman" w:hAnsi="Times New Roman" w:cs="Times New Roman"/>
          <w:sz w:val="26"/>
          <w:szCs w:val="26"/>
        </w:rPr>
        <w:t xml:space="preserve">м мэрии города от 25.07.2024 №  2028 внесены изменения в части увеличения объемов финансового обеспечения в 2024 году по основному мероприятию 1 Программы «Формирование инфраструктуры поддержки МСП» в рамках субсидии АНО АГР, а также выделены объемы финансового обеспечения на основное мероприятие 4 «Возмещение части затрат на приобретение мобильных пунктов быстрого питания города». Одновременно с этим уточнены значения показателей в 2024 году «Количество мероприятий, направленных на развитие предпринимательства, инвестиционного и туристического потенциала» и «Количество участников мероприятий, направленных на развитие предпринимательства, инвестиционного и туристического потенциала», а также введен новый показатель «Количество приобретенных мобильных пунктов быстрого питания города». </w:t>
      </w:r>
    </w:p>
    <w:p w14:paraId="2E675117" w14:textId="0E244F93" w:rsidR="009B7DA5" w:rsidRPr="000636BA" w:rsidRDefault="008A21F0" w:rsidP="0006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1" w:anchor="/document/409644157/entry/0" w:history="1">
        <w:r w:rsidR="009B7DA5" w:rsidRPr="000636B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9B7DA5" w:rsidRPr="000636BA">
        <w:rPr>
          <w:rFonts w:ascii="Times New Roman" w:hAnsi="Times New Roman" w:cs="Times New Roman"/>
          <w:sz w:val="26"/>
          <w:szCs w:val="26"/>
        </w:rPr>
        <w:t>м мэрии города от 05.09.2024</w:t>
      </w:r>
      <w:r w:rsidR="003A3B63" w:rsidRPr="000636BA">
        <w:rPr>
          <w:rFonts w:ascii="Times New Roman" w:hAnsi="Times New Roman" w:cs="Times New Roman"/>
          <w:sz w:val="26"/>
          <w:szCs w:val="26"/>
        </w:rPr>
        <w:t xml:space="preserve"> </w:t>
      </w:r>
      <w:r w:rsidR="009B7DA5" w:rsidRPr="000636BA">
        <w:rPr>
          <w:rFonts w:ascii="Times New Roman" w:hAnsi="Times New Roman" w:cs="Times New Roman"/>
          <w:sz w:val="26"/>
          <w:szCs w:val="26"/>
        </w:rPr>
        <w:t>№ 2380 уточнен соисполнитель по основному мероприятию 4 «Возмещение части затрат на приобретение мобильных пунктов быстрого питания города»</w:t>
      </w:r>
      <w:r w:rsidR="003A3B63" w:rsidRPr="000636BA">
        <w:rPr>
          <w:rFonts w:ascii="Times New Roman" w:hAnsi="Times New Roman" w:cs="Times New Roman"/>
          <w:sz w:val="26"/>
          <w:szCs w:val="26"/>
        </w:rPr>
        <w:t xml:space="preserve">. </w:t>
      </w:r>
      <w:r w:rsidR="009B7DA5" w:rsidRPr="000636BA">
        <w:rPr>
          <w:rFonts w:ascii="Times New Roman" w:hAnsi="Times New Roman" w:cs="Times New Roman"/>
          <w:sz w:val="26"/>
          <w:szCs w:val="26"/>
        </w:rPr>
        <w:t xml:space="preserve">Одновременно с этим </w:t>
      </w:r>
      <w:r w:rsidR="00B263FE" w:rsidRPr="000636BA">
        <w:rPr>
          <w:rFonts w:ascii="Times New Roman" w:hAnsi="Times New Roman" w:cs="Times New Roman"/>
          <w:sz w:val="26"/>
          <w:szCs w:val="26"/>
        </w:rPr>
        <w:t>уточнена</w:t>
      </w:r>
      <w:r w:rsidR="009B7DA5" w:rsidRPr="000636BA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B263FE" w:rsidRPr="000636BA">
        <w:rPr>
          <w:rFonts w:ascii="Times New Roman" w:hAnsi="Times New Roman" w:cs="Times New Roman"/>
          <w:sz w:val="26"/>
          <w:szCs w:val="26"/>
        </w:rPr>
        <w:t>я</w:t>
      </w:r>
      <w:r w:rsidR="009B7DA5" w:rsidRPr="000636BA">
        <w:rPr>
          <w:rFonts w:ascii="Times New Roman" w:hAnsi="Times New Roman" w:cs="Times New Roman"/>
          <w:sz w:val="26"/>
          <w:szCs w:val="26"/>
        </w:rPr>
        <w:t xml:space="preserve"> по налоговым расходам на 2023- 2026 годы в связи с оценкой эффективности налоговых расходов, проведенной в текущем году. </w:t>
      </w:r>
    </w:p>
    <w:p w14:paraId="0AEC12A7" w14:textId="24F46E41" w:rsidR="003A3B63" w:rsidRPr="000636BA" w:rsidRDefault="008A21F0" w:rsidP="0006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2" w:anchor="/document/411011146/entry/0" w:history="1">
        <w:r w:rsidR="003A3B63" w:rsidRPr="000636B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3A3B63" w:rsidRPr="000636BA">
        <w:rPr>
          <w:rFonts w:ascii="Times New Roman" w:hAnsi="Times New Roman" w:cs="Times New Roman"/>
          <w:sz w:val="26"/>
          <w:szCs w:val="26"/>
        </w:rPr>
        <w:t xml:space="preserve">м мэрии города от 26.11.2024 № 3249 увеличены объемы финансового обеспечения </w:t>
      </w:r>
      <w:r w:rsidR="00B263FE" w:rsidRPr="000636BA">
        <w:rPr>
          <w:rFonts w:ascii="Times New Roman" w:hAnsi="Times New Roman" w:cs="Times New Roman"/>
          <w:sz w:val="26"/>
          <w:szCs w:val="26"/>
        </w:rPr>
        <w:t xml:space="preserve">на 2024 год </w:t>
      </w:r>
      <w:r w:rsidR="003A3B63" w:rsidRPr="000636BA">
        <w:rPr>
          <w:rFonts w:ascii="Times New Roman" w:hAnsi="Times New Roman" w:cs="Times New Roman"/>
          <w:sz w:val="26"/>
          <w:szCs w:val="26"/>
        </w:rPr>
        <w:t>основного мероприятия 1 Программы «Формирование инфраструктуры поддержки МСП» в рамках субсидии АНО АГР. Одновременно с этим увеличены значения показателей «Количество мероприятий, направленных на развитие предпринимательства, инвестиционного и туристического потенциала» и «Количество участников мероприятий, направленных на развитие предпринимательства, инвестиционного и туристического потенциала».</w:t>
      </w:r>
    </w:p>
    <w:p w14:paraId="3F862621" w14:textId="03722CAC" w:rsidR="009B7DA5" w:rsidRPr="000636BA" w:rsidRDefault="009B7DA5" w:rsidP="000636BA">
      <w:pPr>
        <w:pStyle w:val="ConsPlusNormal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  <w14:ligatures w14:val="none"/>
        </w:rPr>
      </w:pPr>
    </w:p>
    <w:p w14:paraId="0A9C603A" w14:textId="47C90710" w:rsidR="004F5161" w:rsidRPr="000636BA" w:rsidRDefault="004C0670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Предложения об изменении форм и методов управления реализацией</w:t>
      </w:r>
      <w:r w:rsidR="00110162" w:rsidRPr="000636BA">
        <w:rPr>
          <w:rFonts w:ascii="Times New Roman" w:hAnsi="Times New Roman" w:cs="Times New Roman"/>
          <w:sz w:val="26"/>
          <w:szCs w:val="26"/>
        </w:rPr>
        <w:t xml:space="preserve"> </w:t>
      </w:r>
      <w:r w:rsidRPr="000636BA">
        <w:rPr>
          <w:rFonts w:ascii="Times New Roman" w:hAnsi="Times New Roman" w:cs="Times New Roman"/>
          <w:sz w:val="26"/>
          <w:szCs w:val="26"/>
        </w:rPr>
        <w:t>муниципальной программы с указанием причин, о сокращении (увеличении) финансирования и (или) корректировке, досрочном прекращении основных мероприятий (подпрограмм) муниципальной программы в целом по дальнейшей реализации муниципальной программы</w:t>
      </w:r>
    </w:p>
    <w:p w14:paraId="0B2E38EF" w14:textId="25380C65" w:rsidR="00467D78" w:rsidRPr="000636BA" w:rsidRDefault="00467D78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72403264" w14:textId="08504131" w:rsidR="00FF5D46" w:rsidRPr="000636BA" w:rsidRDefault="00FF5D46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01.01.2025 муниципальная программа досрочно прекращена в связи с принятием новой муниципальной программы с 2025 года</w:t>
      </w:r>
    </w:p>
    <w:p w14:paraId="1FF89EEC" w14:textId="77777777" w:rsidR="00FF5D46" w:rsidRPr="000636BA" w:rsidRDefault="00FF5D46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74AE0B9" w14:textId="77777777" w:rsidR="00467D78" w:rsidRPr="000636BA" w:rsidRDefault="00467D78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Сведения об участии в сфере реализации муниципальной программы субъекта бюджетного планирования в отчетном году в федеральных целевых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привлечения дополнительных средств</w:t>
      </w:r>
    </w:p>
    <w:p w14:paraId="4E1DB75B" w14:textId="77777777" w:rsidR="00D67F83" w:rsidRPr="000636BA" w:rsidRDefault="00D67F83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2EA93B1E" w14:textId="78F57CC3" w:rsidR="00D67F83" w:rsidRPr="000636BA" w:rsidRDefault="00D67F83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отчетном году АНО АГР принимало участие в конкурсном отборе на заключение договоров на оказание консультационных услуг, проводимом АНО «Мой бизнес». В результате было привлечено 22 000 рублей, что позволило оказать 10 безвозмездных консультаций по вопросам правового обеспечения деятельности субъектов </w:t>
      </w:r>
      <w:proofErr w:type="gramStart"/>
      <w:r w:rsidRPr="000636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МСП  и</w:t>
      </w:r>
      <w:proofErr w:type="gramEnd"/>
      <w:r w:rsidRPr="000636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консультацию по вопросам финансового планирования  субъектов МСП</w:t>
      </w:r>
    </w:p>
    <w:p w14:paraId="32842BE2" w14:textId="77777777" w:rsidR="00110162" w:rsidRPr="000636BA" w:rsidRDefault="00110162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3BDB389B" w14:textId="610AF5EB" w:rsidR="00110162" w:rsidRPr="000636BA" w:rsidRDefault="00110162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Результаты оценки эффективности муниц</w:t>
      </w:r>
      <w:r w:rsidR="00112C63" w:rsidRPr="000636BA">
        <w:rPr>
          <w:rFonts w:ascii="Times New Roman" w:hAnsi="Times New Roman" w:cs="Times New Roman"/>
          <w:sz w:val="26"/>
          <w:szCs w:val="26"/>
        </w:rPr>
        <w:t>и</w:t>
      </w:r>
      <w:r w:rsidRPr="000636BA">
        <w:rPr>
          <w:rFonts w:ascii="Times New Roman" w:hAnsi="Times New Roman" w:cs="Times New Roman"/>
          <w:sz w:val="26"/>
          <w:szCs w:val="26"/>
        </w:rPr>
        <w:t>пальной программы за отчетный год (с приведением алгоритма расчета)</w:t>
      </w:r>
    </w:p>
    <w:p w14:paraId="7C7664FD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1E47BE36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Оценка эффективности реализации Программы проводится ежегодно на основе оценки достижения целевых показателей реализации Программы и оценки степени достижения запланированного уровня затрат.</w:t>
      </w:r>
    </w:p>
    <w:p w14:paraId="4158EBEB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Оценка достижения плановых значений целевых показателей и индикаторов Программы осуществляется по итогам каждого календарного года и в целом по итогам реализации Программы в соответствии со следующими формулами:</w:t>
      </w:r>
    </w:p>
    <w:p w14:paraId="0B5F6918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15F000" wp14:editId="5FA4EFC3">
            <wp:extent cx="1447800" cy="6400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8593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Пэф</w:t>
      </w:r>
      <w:proofErr w:type="spellEnd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степень достижения показателя эффективности реализации Программы, (%);</w:t>
      </w:r>
    </w:p>
    <w:p w14:paraId="13C439AA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spellStart"/>
      <w:r w:rsidRPr="000636BA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</w:t>
      </w:r>
      <w:proofErr w:type="spellEnd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степень достижения целевого показателя реализации Программы, (%),</w:t>
      </w:r>
    </w:p>
    <w:p w14:paraId="69E4D964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noProof/>
          <w:sz w:val="26"/>
          <w:szCs w:val="26"/>
          <w:lang w:val="en-US" w:eastAsia="ru-RU"/>
        </w:rPr>
        <w:t>n</w:t>
      </w: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количество</w:t>
      </w:r>
      <w:proofErr w:type="gramEnd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целевых показателей реализации Программы.</w:t>
      </w:r>
    </w:p>
    <w:p w14:paraId="0B74B8BC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оценки эффективности реализации Программы устанавливаются следующие критерии:</w:t>
      </w:r>
    </w:p>
    <w:p w14:paraId="17DFAAE3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если значение </w:t>
      </w:r>
      <w:proofErr w:type="spellStart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Пэф</w:t>
      </w:r>
      <w:proofErr w:type="spellEnd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равно 95% и выше, то уровень реализации муниципальной программы оценивается как высокий;</w:t>
      </w:r>
    </w:p>
    <w:p w14:paraId="7AAB8ED8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если значение </w:t>
      </w:r>
      <w:proofErr w:type="spellStart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Пэф</w:t>
      </w:r>
      <w:proofErr w:type="spellEnd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ниже 95%, то уровень эффективности реализации муниципальной программы оценивается как неудовлетворительный.</w:t>
      </w:r>
    </w:p>
    <w:p w14:paraId="2293E025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Степень достижения значений количественных и качественных целевых показателей (индикаторов) Программы рассчитывается путем сопоставления фактически достигнутых и плановых значений целевых показателей за отчетный период по формуле:</w:t>
      </w:r>
    </w:p>
    <w:p w14:paraId="1E0A9FAB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8EFBC8" wp14:editId="695E0FBB">
            <wp:extent cx="162306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</w:p>
    <w:p w14:paraId="189C2DC1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Ппл</w:t>
      </w:r>
      <w:r w:rsidRPr="000636BA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</w:t>
      </w:r>
      <w:proofErr w:type="spellEnd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плановое значение i-того показателя эффективности реализации Программы;</w:t>
      </w:r>
    </w:p>
    <w:p w14:paraId="3A93F54B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Пф</w:t>
      </w:r>
      <w:r w:rsidRPr="000636BA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</w:t>
      </w:r>
      <w:proofErr w:type="spellEnd"/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фактическое значение i-того показателя эффективности реализации Программы (в соответствующих единицах измерения).</w:t>
      </w:r>
    </w:p>
    <w:p w14:paraId="59361037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</w:t>
      </w:r>
    </w:p>
    <w:p w14:paraId="0A19033F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 95% - неэффективное выполнение показателей Программы;</w:t>
      </w:r>
    </w:p>
    <w:p w14:paraId="7C9E45A0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95% и выше - эффективное выполнение показателей Программы.</w:t>
      </w:r>
    </w:p>
    <w:p w14:paraId="5EE1FEBD" w14:textId="41775440" w:rsidR="00DF4C74" w:rsidRPr="000636BA" w:rsidRDefault="00DF4C74" w:rsidP="000636B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202</w:t>
      </w:r>
      <w:r w:rsidR="007313E0" w:rsidRPr="00063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Pr="000636BA">
        <w:rPr>
          <w:rFonts w:ascii="Times New Roman" w:eastAsia="Calibri" w:hAnsi="Times New Roman" w:cs="Times New Roman"/>
          <w:sz w:val="26"/>
          <w:szCs w:val="26"/>
          <w:lang w:eastAsia="ru-RU"/>
        </w:rPr>
        <w:t>года достижение плановых показателей оценивается следующим образом:</w:t>
      </w:r>
    </w:p>
    <w:p w14:paraId="1EF67CFE" w14:textId="77777777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1 Программы:</w:t>
      </w:r>
    </w:p>
    <w:p w14:paraId="7125D810" w14:textId="03FD9FD1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(5</w:t>
      </w:r>
      <w:r w:rsidR="007313E0" w:rsidRPr="000636BA">
        <w:rPr>
          <w:rFonts w:ascii="Times New Roman" w:hAnsi="Times New Roman" w:cs="Times New Roman"/>
          <w:sz w:val="26"/>
          <w:szCs w:val="26"/>
        </w:rPr>
        <w:t>49</w:t>
      </w:r>
      <w:r w:rsidRPr="000636BA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7313E0" w:rsidRPr="000636BA">
        <w:rPr>
          <w:rFonts w:ascii="Times New Roman" w:hAnsi="Times New Roman" w:cs="Times New Roman"/>
          <w:sz w:val="26"/>
          <w:szCs w:val="26"/>
        </w:rPr>
        <w:t>450</w:t>
      </w:r>
      <w:r w:rsidRPr="000636BA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>100% =1</w:t>
      </w:r>
      <w:r w:rsidR="007313E0" w:rsidRPr="000636BA">
        <w:rPr>
          <w:rFonts w:ascii="Times New Roman" w:hAnsi="Times New Roman" w:cs="Times New Roman"/>
          <w:sz w:val="26"/>
          <w:szCs w:val="26"/>
        </w:rPr>
        <w:t>22</w:t>
      </w:r>
      <w:r w:rsidRPr="000636BA">
        <w:rPr>
          <w:rFonts w:ascii="Times New Roman" w:hAnsi="Times New Roman" w:cs="Times New Roman"/>
          <w:sz w:val="26"/>
          <w:szCs w:val="26"/>
        </w:rPr>
        <w:t>,</w:t>
      </w:r>
      <w:r w:rsidR="007313E0" w:rsidRPr="000636BA">
        <w:rPr>
          <w:rFonts w:ascii="Times New Roman" w:hAnsi="Times New Roman" w:cs="Times New Roman"/>
          <w:sz w:val="26"/>
          <w:szCs w:val="26"/>
        </w:rPr>
        <w:t>0</w:t>
      </w:r>
      <w:r w:rsidRPr="000636BA">
        <w:rPr>
          <w:rFonts w:ascii="Times New Roman" w:hAnsi="Times New Roman" w:cs="Times New Roman"/>
          <w:sz w:val="26"/>
          <w:szCs w:val="26"/>
        </w:rPr>
        <w:t xml:space="preserve">% –эффективное выполнение показателя; </w:t>
      </w:r>
    </w:p>
    <w:p w14:paraId="53DEDC11" w14:textId="77777777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2 Программы:</w:t>
      </w:r>
    </w:p>
    <w:p w14:paraId="27AD5490" w14:textId="31DE6EF1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</w:t>
      </w:r>
      <w:r w:rsidR="007313E0" w:rsidRPr="000636BA">
        <w:rPr>
          <w:rFonts w:ascii="Times New Roman" w:hAnsi="Times New Roman" w:cs="Times New Roman"/>
          <w:sz w:val="26"/>
          <w:szCs w:val="26"/>
        </w:rPr>
        <w:t>4 588</w:t>
      </w:r>
      <w:r w:rsidRPr="000636BA">
        <w:rPr>
          <w:rFonts w:ascii="Times New Roman" w:hAnsi="Times New Roman" w:cs="Times New Roman"/>
          <w:sz w:val="26"/>
          <w:szCs w:val="26"/>
        </w:rPr>
        <w:t>/</w:t>
      </w:r>
      <w:r w:rsidR="007313E0" w:rsidRPr="000636BA">
        <w:rPr>
          <w:rFonts w:ascii="Times New Roman" w:hAnsi="Times New Roman" w:cs="Times New Roman"/>
          <w:sz w:val="26"/>
          <w:szCs w:val="26"/>
        </w:rPr>
        <w:t xml:space="preserve">3 </w:t>
      </w:r>
      <w:proofErr w:type="gramStart"/>
      <w:r w:rsidR="007313E0" w:rsidRPr="000636BA">
        <w:rPr>
          <w:rFonts w:ascii="Times New Roman" w:hAnsi="Times New Roman" w:cs="Times New Roman"/>
          <w:sz w:val="26"/>
          <w:szCs w:val="26"/>
        </w:rPr>
        <w:t>350</w:t>
      </w:r>
      <w:r w:rsidRPr="000636BA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>100% =</w:t>
      </w:r>
      <w:r w:rsidR="00884588" w:rsidRPr="000636BA">
        <w:rPr>
          <w:rFonts w:ascii="Times New Roman" w:hAnsi="Times New Roman" w:cs="Times New Roman"/>
          <w:sz w:val="26"/>
          <w:szCs w:val="26"/>
        </w:rPr>
        <w:t>137</w:t>
      </w:r>
      <w:r w:rsidRPr="000636BA">
        <w:rPr>
          <w:rFonts w:ascii="Times New Roman" w:hAnsi="Times New Roman" w:cs="Times New Roman"/>
          <w:sz w:val="26"/>
          <w:szCs w:val="26"/>
        </w:rPr>
        <w:t>,</w:t>
      </w:r>
      <w:r w:rsidR="00884588" w:rsidRPr="000636BA">
        <w:rPr>
          <w:rFonts w:ascii="Times New Roman" w:hAnsi="Times New Roman" w:cs="Times New Roman"/>
          <w:sz w:val="26"/>
          <w:szCs w:val="26"/>
        </w:rPr>
        <w:t>0</w:t>
      </w:r>
      <w:r w:rsidRPr="000636BA">
        <w:rPr>
          <w:rFonts w:ascii="Times New Roman" w:hAnsi="Times New Roman" w:cs="Times New Roman"/>
          <w:sz w:val="26"/>
          <w:szCs w:val="26"/>
        </w:rPr>
        <w:t xml:space="preserve">% – эффективное выполнение показателя; </w:t>
      </w:r>
    </w:p>
    <w:p w14:paraId="3F91F0BA" w14:textId="77777777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3 Программы:</w:t>
      </w:r>
    </w:p>
    <w:p w14:paraId="5CCCF64C" w14:textId="5104789B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(3</w:t>
      </w:r>
      <w:r w:rsidR="00884588" w:rsidRPr="000636BA">
        <w:rPr>
          <w:rFonts w:ascii="Times New Roman" w:hAnsi="Times New Roman" w:cs="Times New Roman"/>
          <w:sz w:val="26"/>
          <w:szCs w:val="26"/>
        </w:rPr>
        <w:t xml:space="preserve"> 455</w:t>
      </w:r>
      <w:r w:rsidRPr="000636BA">
        <w:rPr>
          <w:rFonts w:ascii="Times New Roman" w:hAnsi="Times New Roman" w:cs="Times New Roman"/>
          <w:sz w:val="26"/>
          <w:szCs w:val="26"/>
        </w:rPr>
        <w:t>/2</w:t>
      </w:r>
      <w:r w:rsidR="00884588" w:rsidRPr="000636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36BA">
        <w:rPr>
          <w:rFonts w:ascii="Times New Roman" w:hAnsi="Times New Roman" w:cs="Times New Roman"/>
          <w:sz w:val="26"/>
          <w:szCs w:val="26"/>
        </w:rPr>
        <w:t>960)*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>100% =1</w:t>
      </w:r>
      <w:r w:rsidR="00884588" w:rsidRPr="000636BA">
        <w:rPr>
          <w:rFonts w:ascii="Times New Roman" w:hAnsi="Times New Roman" w:cs="Times New Roman"/>
          <w:sz w:val="26"/>
          <w:szCs w:val="26"/>
        </w:rPr>
        <w:t>16</w:t>
      </w:r>
      <w:r w:rsidRPr="000636BA">
        <w:rPr>
          <w:rFonts w:ascii="Times New Roman" w:hAnsi="Times New Roman" w:cs="Times New Roman"/>
          <w:sz w:val="26"/>
          <w:szCs w:val="26"/>
        </w:rPr>
        <w:t>,</w:t>
      </w:r>
      <w:r w:rsidR="00884588" w:rsidRPr="000636BA">
        <w:rPr>
          <w:rFonts w:ascii="Times New Roman" w:hAnsi="Times New Roman" w:cs="Times New Roman"/>
          <w:sz w:val="26"/>
          <w:szCs w:val="26"/>
        </w:rPr>
        <w:t>7</w:t>
      </w:r>
      <w:r w:rsidRPr="000636BA">
        <w:rPr>
          <w:rFonts w:ascii="Times New Roman" w:hAnsi="Times New Roman" w:cs="Times New Roman"/>
          <w:sz w:val="26"/>
          <w:szCs w:val="26"/>
        </w:rPr>
        <w:t xml:space="preserve">% – эффективное выполнение показателя; </w:t>
      </w:r>
    </w:p>
    <w:p w14:paraId="3E119C93" w14:textId="49C6BB0C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в том числе (</w:t>
      </w:r>
      <w:r w:rsidR="00594CA4" w:rsidRPr="000636BA">
        <w:rPr>
          <w:rFonts w:ascii="Times New Roman" w:hAnsi="Times New Roman" w:cs="Times New Roman"/>
          <w:sz w:val="26"/>
          <w:szCs w:val="26"/>
        </w:rPr>
        <w:t>765</w:t>
      </w:r>
      <w:r w:rsidRPr="000636BA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0636BA">
        <w:rPr>
          <w:rFonts w:ascii="Times New Roman" w:hAnsi="Times New Roman" w:cs="Times New Roman"/>
          <w:sz w:val="26"/>
          <w:szCs w:val="26"/>
        </w:rPr>
        <w:t>500)*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>100%=15</w:t>
      </w:r>
      <w:r w:rsidR="00594CA4" w:rsidRPr="000636BA">
        <w:rPr>
          <w:rFonts w:ascii="Times New Roman" w:hAnsi="Times New Roman" w:cs="Times New Roman"/>
          <w:sz w:val="26"/>
          <w:szCs w:val="26"/>
        </w:rPr>
        <w:t>3</w:t>
      </w:r>
      <w:r w:rsidRPr="000636BA">
        <w:rPr>
          <w:rFonts w:ascii="Times New Roman" w:hAnsi="Times New Roman" w:cs="Times New Roman"/>
          <w:sz w:val="26"/>
          <w:szCs w:val="26"/>
        </w:rPr>
        <w:t>,0% – эффективное выполнение показателя</w:t>
      </w:r>
    </w:p>
    <w:p w14:paraId="44B07A82" w14:textId="77777777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4 Программы:</w:t>
      </w:r>
    </w:p>
    <w:p w14:paraId="4158B587" w14:textId="3DACA0E0" w:rsidR="00DF4C74" w:rsidRPr="008E568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hAnsi="Times New Roman" w:cs="Times New Roman"/>
          <w:sz w:val="26"/>
          <w:szCs w:val="26"/>
        </w:rPr>
        <w:t>(2</w:t>
      </w:r>
      <w:r w:rsidR="00594CA4" w:rsidRPr="008E568A">
        <w:rPr>
          <w:rFonts w:ascii="Times New Roman" w:hAnsi="Times New Roman" w:cs="Times New Roman"/>
          <w:sz w:val="26"/>
          <w:szCs w:val="26"/>
        </w:rPr>
        <w:t>65</w:t>
      </w:r>
      <w:r w:rsidRPr="008E568A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594CA4" w:rsidRPr="008E568A">
        <w:rPr>
          <w:rFonts w:ascii="Times New Roman" w:hAnsi="Times New Roman" w:cs="Times New Roman"/>
          <w:sz w:val="26"/>
          <w:szCs w:val="26"/>
        </w:rPr>
        <w:t>170</w:t>
      </w:r>
      <w:r w:rsidRPr="008E568A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8E568A">
        <w:rPr>
          <w:rFonts w:ascii="Times New Roman" w:hAnsi="Times New Roman" w:cs="Times New Roman"/>
          <w:sz w:val="26"/>
          <w:szCs w:val="26"/>
        </w:rPr>
        <w:t xml:space="preserve">100% = </w:t>
      </w:r>
      <w:r w:rsidR="00594CA4" w:rsidRPr="008E568A">
        <w:rPr>
          <w:rFonts w:ascii="Times New Roman" w:hAnsi="Times New Roman" w:cs="Times New Roman"/>
          <w:sz w:val="26"/>
          <w:szCs w:val="26"/>
        </w:rPr>
        <w:t>155,9</w:t>
      </w:r>
      <w:r w:rsidRPr="008E568A">
        <w:rPr>
          <w:rFonts w:ascii="Times New Roman" w:hAnsi="Times New Roman" w:cs="Times New Roman"/>
          <w:sz w:val="26"/>
          <w:szCs w:val="26"/>
        </w:rPr>
        <w:t xml:space="preserve">% – эффективное выполнение показателя; </w:t>
      </w:r>
    </w:p>
    <w:p w14:paraId="0338CFE4" w14:textId="77777777" w:rsidR="00DF4C74" w:rsidRPr="008E568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5 Программы:</w:t>
      </w:r>
    </w:p>
    <w:p w14:paraId="358C1B1F" w14:textId="172BED04" w:rsidR="00DF4C74" w:rsidRPr="008E568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hAnsi="Times New Roman" w:cs="Times New Roman"/>
          <w:sz w:val="26"/>
          <w:szCs w:val="26"/>
        </w:rPr>
        <w:t>(2</w:t>
      </w:r>
      <w:r w:rsidR="00594CA4" w:rsidRPr="008E568A">
        <w:rPr>
          <w:rFonts w:ascii="Times New Roman" w:hAnsi="Times New Roman" w:cs="Times New Roman"/>
          <w:sz w:val="26"/>
          <w:szCs w:val="26"/>
        </w:rPr>
        <w:t>364</w:t>
      </w:r>
      <w:r w:rsidRPr="008E568A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8E568A">
        <w:rPr>
          <w:rFonts w:ascii="Times New Roman" w:hAnsi="Times New Roman" w:cs="Times New Roman"/>
          <w:sz w:val="26"/>
          <w:szCs w:val="26"/>
        </w:rPr>
        <w:t>1500)*</w:t>
      </w:r>
      <w:proofErr w:type="gramEnd"/>
      <w:r w:rsidRPr="008E568A">
        <w:rPr>
          <w:rFonts w:ascii="Times New Roman" w:hAnsi="Times New Roman" w:cs="Times New Roman"/>
          <w:sz w:val="26"/>
          <w:szCs w:val="26"/>
        </w:rPr>
        <w:t>100% = 15</w:t>
      </w:r>
      <w:r w:rsidR="009709B7" w:rsidRPr="008E568A">
        <w:rPr>
          <w:rFonts w:ascii="Times New Roman" w:hAnsi="Times New Roman" w:cs="Times New Roman"/>
          <w:sz w:val="26"/>
          <w:szCs w:val="26"/>
        </w:rPr>
        <w:t>7</w:t>
      </w:r>
      <w:r w:rsidRPr="008E568A">
        <w:rPr>
          <w:rFonts w:ascii="Times New Roman" w:hAnsi="Times New Roman" w:cs="Times New Roman"/>
          <w:sz w:val="26"/>
          <w:szCs w:val="26"/>
        </w:rPr>
        <w:t>,</w:t>
      </w:r>
      <w:r w:rsidR="009709B7" w:rsidRPr="008E568A">
        <w:rPr>
          <w:rFonts w:ascii="Times New Roman" w:hAnsi="Times New Roman" w:cs="Times New Roman"/>
          <w:sz w:val="26"/>
          <w:szCs w:val="26"/>
        </w:rPr>
        <w:t>6</w:t>
      </w:r>
      <w:r w:rsidRPr="008E568A">
        <w:rPr>
          <w:rFonts w:ascii="Times New Roman" w:hAnsi="Times New Roman" w:cs="Times New Roman"/>
          <w:sz w:val="26"/>
          <w:szCs w:val="26"/>
        </w:rPr>
        <w:t xml:space="preserve">% – эффективное выполнение показателя; </w:t>
      </w:r>
    </w:p>
    <w:p w14:paraId="52E5B630" w14:textId="77777777" w:rsidR="00866525" w:rsidRPr="008E568A" w:rsidRDefault="00866525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6 Программы:</w:t>
      </w:r>
    </w:p>
    <w:p w14:paraId="518B3351" w14:textId="5C889801" w:rsidR="00866525" w:rsidRPr="008E568A" w:rsidRDefault="00866525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hAnsi="Times New Roman" w:cs="Times New Roman"/>
          <w:sz w:val="26"/>
          <w:szCs w:val="26"/>
        </w:rPr>
        <w:t>(2/</w:t>
      </w:r>
      <w:proofErr w:type="gramStart"/>
      <w:r w:rsidRPr="008E568A">
        <w:rPr>
          <w:rFonts w:ascii="Times New Roman" w:hAnsi="Times New Roman" w:cs="Times New Roman"/>
          <w:sz w:val="26"/>
          <w:szCs w:val="26"/>
        </w:rPr>
        <w:t>2</w:t>
      </w:r>
      <w:r w:rsidR="00AD1C25" w:rsidRPr="008E568A">
        <w:rPr>
          <w:rFonts w:ascii="Times New Roman" w:hAnsi="Times New Roman" w:cs="Times New Roman"/>
          <w:sz w:val="26"/>
          <w:szCs w:val="26"/>
        </w:rPr>
        <w:t>)</w:t>
      </w:r>
      <w:r w:rsidRPr="008E568A">
        <w:rPr>
          <w:rFonts w:ascii="Times New Roman" w:hAnsi="Times New Roman" w:cs="Times New Roman"/>
          <w:sz w:val="26"/>
          <w:szCs w:val="26"/>
        </w:rPr>
        <w:t>*</w:t>
      </w:r>
      <w:proofErr w:type="gramEnd"/>
      <w:r w:rsidRPr="008E568A">
        <w:rPr>
          <w:rFonts w:ascii="Times New Roman" w:hAnsi="Times New Roman" w:cs="Times New Roman"/>
          <w:sz w:val="26"/>
          <w:szCs w:val="26"/>
        </w:rPr>
        <w:t>100%</w:t>
      </w:r>
      <w:r w:rsidR="00AD1C25" w:rsidRPr="008E568A">
        <w:rPr>
          <w:rFonts w:ascii="Times New Roman" w:hAnsi="Times New Roman" w:cs="Times New Roman"/>
          <w:sz w:val="26"/>
          <w:szCs w:val="26"/>
        </w:rPr>
        <w:t xml:space="preserve"> =</w:t>
      </w:r>
      <w:r w:rsidRPr="008E568A">
        <w:rPr>
          <w:rFonts w:ascii="Times New Roman" w:hAnsi="Times New Roman" w:cs="Times New Roman"/>
          <w:sz w:val="26"/>
          <w:szCs w:val="26"/>
        </w:rPr>
        <w:t xml:space="preserve"> 100% – эффективное выполнение показателя; </w:t>
      </w:r>
    </w:p>
    <w:p w14:paraId="5AF93E11" w14:textId="30D5017A" w:rsidR="00DF4C74" w:rsidRPr="008E568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hAnsi="Times New Roman" w:cs="Times New Roman"/>
          <w:sz w:val="26"/>
          <w:szCs w:val="26"/>
        </w:rPr>
        <w:t xml:space="preserve">Расчет эффективности целевого показателя (индикатора) </w:t>
      </w:r>
      <w:r w:rsidR="00866525" w:rsidRPr="008E568A">
        <w:rPr>
          <w:rFonts w:ascii="Times New Roman" w:hAnsi="Times New Roman" w:cs="Times New Roman"/>
          <w:sz w:val="26"/>
          <w:szCs w:val="26"/>
        </w:rPr>
        <w:t>7</w:t>
      </w:r>
      <w:r w:rsidRPr="008E568A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14:paraId="26CEFFCC" w14:textId="1CC43479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9709B7" w:rsidRPr="000636BA">
        <w:rPr>
          <w:rFonts w:ascii="Times New Roman" w:hAnsi="Times New Roman" w:cs="Times New Roman"/>
          <w:sz w:val="26"/>
          <w:szCs w:val="26"/>
        </w:rPr>
        <w:t>23 977</w:t>
      </w:r>
      <w:r w:rsidRPr="000636BA">
        <w:rPr>
          <w:rFonts w:ascii="Times New Roman" w:hAnsi="Times New Roman" w:cs="Times New Roman"/>
          <w:sz w:val="26"/>
          <w:szCs w:val="26"/>
        </w:rPr>
        <w:t>,</w:t>
      </w:r>
      <w:r w:rsidR="009709B7" w:rsidRPr="000636BA">
        <w:rPr>
          <w:rFonts w:ascii="Times New Roman" w:hAnsi="Times New Roman" w:cs="Times New Roman"/>
          <w:sz w:val="26"/>
          <w:szCs w:val="26"/>
        </w:rPr>
        <w:t>665</w:t>
      </w:r>
      <w:r w:rsidRPr="000636BA">
        <w:rPr>
          <w:rFonts w:ascii="Times New Roman" w:hAnsi="Times New Roman" w:cs="Times New Roman"/>
          <w:sz w:val="26"/>
          <w:szCs w:val="26"/>
        </w:rPr>
        <w:t>/2</w:t>
      </w:r>
      <w:r w:rsidR="009709B7" w:rsidRPr="000636BA">
        <w:rPr>
          <w:rFonts w:ascii="Times New Roman" w:hAnsi="Times New Roman" w:cs="Times New Roman"/>
          <w:sz w:val="26"/>
          <w:szCs w:val="26"/>
        </w:rPr>
        <w:t>760</w:t>
      </w:r>
      <w:r w:rsidRPr="000636BA">
        <w:rPr>
          <w:rFonts w:ascii="Times New Roman" w:hAnsi="Times New Roman" w:cs="Times New Roman"/>
          <w:sz w:val="26"/>
          <w:szCs w:val="26"/>
        </w:rPr>
        <w:t xml:space="preserve">*100% = </w:t>
      </w:r>
      <w:r w:rsidR="009709B7" w:rsidRPr="000636BA">
        <w:rPr>
          <w:rFonts w:ascii="Times New Roman" w:hAnsi="Times New Roman" w:cs="Times New Roman"/>
          <w:sz w:val="26"/>
          <w:szCs w:val="26"/>
        </w:rPr>
        <w:t>868,8</w:t>
      </w:r>
      <w:r w:rsidRPr="000636BA">
        <w:rPr>
          <w:rFonts w:ascii="Times New Roman" w:hAnsi="Times New Roman" w:cs="Times New Roman"/>
          <w:sz w:val="26"/>
          <w:szCs w:val="26"/>
        </w:rPr>
        <w:t xml:space="preserve">% – эффективное выполнение показателя; </w:t>
      </w:r>
    </w:p>
    <w:p w14:paraId="6E3804FB" w14:textId="77777777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8 Программы:</w:t>
      </w:r>
    </w:p>
    <w:p w14:paraId="76240326" w14:textId="1082D947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</w:t>
      </w:r>
      <w:r w:rsidR="00EB3321" w:rsidRPr="000636BA">
        <w:rPr>
          <w:rFonts w:ascii="Times New Roman" w:hAnsi="Times New Roman" w:cs="Times New Roman"/>
          <w:sz w:val="26"/>
          <w:szCs w:val="26"/>
        </w:rPr>
        <w:t>74</w:t>
      </w:r>
      <w:r w:rsidRPr="000636BA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EB3321" w:rsidRPr="000636BA">
        <w:rPr>
          <w:rFonts w:ascii="Times New Roman" w:hAnsi="Times New Roman" w:cs="Times New Roman"/>
          <w:sz w:val="26"/>
          <w:szCs w:val="26"/>
        </w:rPr>
        <w:t>62</w:t>
      </w:r>
      <w:r w:rsidRPr="000636BA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>100% =11</w:t>
      </w:r>
      <w:r w:rsidR="00EB3321" w:rsidRPr="000636BA">
        <w:rPr>
          <w:rFonts w:ascii="Times New Roman" w:hAnsi="Times New Roman" w:cs="Times New Roman"/>
          <w:sz w:val="26"/>
          <w:szCs w:val="26"/>
        </w:rPr>
        <w:t>9</w:t>
      </w:r>
      <w:r w:rsidRPr="000636BA">
        <w:rPr>
          <w:rFonts w:ascii="Times New Roman" w:hAnsi="Times New Roman" w:cs="Times New Roman"/>
          <w:sz w:val="26"/>
          <w:szCs w:val="26"/>
        </w:rPr>
        <w:t>,</w:t>
      </w:r>
      <w:r w:rsidR="00EB3321" w:rsidRPr="000636BA">
        <w:rPr>
          <w:rFonts w:ascii="Times New Roman" w:hAnsi="Times New Roman" w:cs="Times New Roman"/>
          <w:sz w:val="26"/>
          <w:szCs w:val="26"/>
        </w:rPr>
        <w:t>4</w:t>
      </w:r>
      <w:r w:rsidRPr="000636BA">
        <w:rPr>
          <w:rFonts w:ascii="Times New Roman" w:hAnsi="Times New Roman" w:cs="Times New Roman"/>
          <w:sz w:val="26"/>
          <w:szCs w:val="26"/>
        </w:rPr>
        <w:t xml:space="preserve">% – эффективное выполнение показателя; </w:t>
      </w:r>
    </w:p>
    <w:p w14:paraId="5E99AD48" w14:textId="77777777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9 Программы:</w:t>
      </w:r>
    </w:p>
    <w:p w14:paraId="48999353" w14:textId="77777777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(50/</w:t>
      </w:r>
      <w:proofErr w:type="gramStart"/>
      <w:r w:rsidRPr="000636BA">
        <w:rPr>
          <w:rFonts w:ascii="Times New Roman" w:hAnsi="Times New Roman" w:cs="Times New Roman"/>
          <w:sz w:val="26"/>
          <w:szCs w:val="26"/>
        </w:rPr>
        <w:t>50)*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>100% =</w:t>
      </w:r>
      <w:bookmarkStart w:id="5" w:name="_Hlk188881942"/>
      <w:r w:rsidRPr="000636BA">
        <w:rPr>
          <w:rFonts w:ascii="Times New Roman" w:hAnsi="Times New Roman" w:cs="Times New Roman"/>
          <w:sz w:val="26"/>
          <w:szCs w:val="26"/>
        </w:rPr>
        <w:t xml:space="preserve">100,0% </w:t>
      </w:r>
      <w:bookmarkEnd w:id="5"/>
      <w:r w:rsidRPr="000636BA">
        <w:rPr>
          <w:rFonts w:ascii="Times New Roman" w:hAnsi="Times New Roman" w:cs="Times New Roman"/>
          <w:sz w:val="26"/>
          <w:szCs w:val="26"/>
        </w:rPr>
        <w:t xml:space="preserve">– эффективное выполнение показателя; </w:t>
      </w:r>
    </w:p>
    <w:p w14:paraId="46B5ADC5" w14:textId="6883A671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1</w:t>
      </w:r>
      <w:r w:rsidR="00866525" w:rsidRPr="000636BA">
        <w:rPr>
          <w:rFonts w:ascii="Times New Roman" w:hAnsi="Times New Roman" w:cs="Times New Roman"/>
          <w:sz w:val="26"/>
          <w:szCs w:val="26"/>
        </w:rPr>
        <w:t>0</w:t>
      </w:r>
      <w:r w:rsidRPr="000636BA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14:paraId="42D83782" w14:textId="77777777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(10/</w:t>
      </w:r>
      <w:proofErr w:type="gramStart"/>
      <w:r w:rsidRPr="000636BA">
        <w:rPr>
          <w:rFonts w:ascii="Times New Roman" w:hAnsi="Times New Roman" w:cs="Times New Roman"/>
          <w:sz w:val="26"/>
          <w:szCs w:val="26"/>
        </w:rPr>
        <w:t>10)*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 xml:space="preserve">100% = 100,0% – эффективное выполнение показателя; </w:t>
      </w:r>
    </w:p>
    <w:p w14:paraId="7BD64100" w14:textId="7D22E8E9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1</w:t>
      </w:r>
      <w:r w:rsidR="00866525" w:rsidRPr="000636BA">
        <w:rPr>
          <w:rFonts w:ascii="Times New Roman" w:hAnsi="Times New Roman" w:cs="Times New Roman"/>
          <w:sz w:val="26"/>
          <w:szCs w:val="26"/>
        </w:rPr>
        <w:t>1</w:t>
      </w:r>
      <w:r w:rsidRPr="000636BA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14:paraId="6588A7D7" w14:textId="187BCB7F" w:rsidR="00DF4C74" w:rsidRPr="000636BA" w:rsidRDefault="00EB3321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</w:t>
      </w:r>
      <w:r w:rsidR="00E91087" w:rsidRPr="000636BA">
        <w:rPr>
          <w:rFonts w:ascii="Times New Roman" w:hAnsi="Times New Roman" w:cs="Times New Roman"/>
          <w:sz w:val="26"/>
          <w:szCs w:val="26"/>
        </w:rPr>
        <w:t>2</w:t>
      </w:r>
      <w:r w:rsidRPr="000636BA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E91087" w:rsidRPr="000636BA">
        <w:rPr>
          <w:rFonts w:ascii="Times New Roman" w:hAnsi="Times New Roman" w:cs="Times New Roman"/>
          <w:sz w:val="26"/>
          <w:szCs w:val="26"/>
        </w:rPr>
        <w:t>2</w:t>
      </w:r>
      <w:r w:rsidRPr="000636BA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 xml:space="preserve">100% = 100,0% </w:t>
      </w:r>
      <w:r w:rsidR="00E91087" w:rsidRPr="000636BA">
        <w:rPr>
          <w:rFonts w:ascii="Times New Roman" w:hAnsi="Times New Roman" w:cs="Times New Roman"/>
          <w:sz w:val="26"/>
          <w:szCs w:val="26"/>
        </w:rPr>
        <w:t>- эффективное выполнение показателя;</w:t>
      </w:r>
    </w:p>
    <w:p w14:paraId="469BD346" w14:textId="326F69B5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1</w:t>
      </w:r>
      <w:r w:rsidR="00866525" w:rsidRPr="000636BA">
        <w:rPr>
          <w:rFonts w:ascii="Times New Roman" w:hAnsi="Times New Roman" w:cs="Times New Roman"/>
          <w:sz w:val="26"/>
          <w:szCs w:val="26"/>
        </w:rPr>
        <w:t>2</w:t>
      </w:r>
      <w:r w:rsidRPr="000636BA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14:paraId="6304FB0C" w14:textId="77777777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(1/</w:t>
      </w:r>
      <w:proofErr w:type="gramStart"/>
      <w:r w:rsidRPr="000636BA">
        <w:rPr>
          <w:rFonts w:ascii="Times New Roman" w:hAnsi="Times New Roman" w:cs="Times New Roman"/>
          <w:sz w:val="26"/>
          <w:szCs w:val="26"/>
        </w:rPr>
        <w:t>1)*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 xml:space="preserve">100% = 100,0% – эффективное выполнение показателя; </w:t>
      </w:r>
    </w:p>
    <w:p w14:paraId="511FD44C" w14:textId="14C38B41" w:rsidR="00DF4C74" w:rsidRPr="000636BA" w:rsidRDefault="00DF4C74" w:rsidP="000636BA">
      <w:pPr>
        <w:pStyle w:val="ConsPlusNormal0"/>
        <w:widowControl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Расчет эффективности целевого показателя (индикатора) 1</w:t>
      </w:r>
      <w:r w:rsidR="00866525" w:rsidRPr="000636BA">
        <w:rPr>
          <w:rFonts w:ascii="Times New Roman" w:hAnsi="Times New Roman" w:cs="Times New Roman"/>
          <w:sz w:val="26"/>
          <w:szCs w:val="26"/>
        </w:rPr>
        <w:t>3</w:t>
      </w:r>
      <w:r w:rsidRPr="000636BA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14:paraId="4D2058C0" w14:textId="79AD1B33" w:rsidR="00DF4C74" w:rsidRPr="000636B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(1</w:t>
      </w:r>
      <w:r w:rsidR="00E91087" w:rsidRPr="000636BA">
        <w:rPr>
          <w:rFonts w:ascii="Times New Roman" w:hAnsi="Times New Roman" w:cs="Times New Roman"/>
          <w:sz w:val="26"/>
          <w:szCs w:val="26"/>
        </w:rPr>
        <w:t>15</w:t>
      </w:r>
      <w:r w:rsidRPr="000636BA">
        <w:rPr>
          <w:rFonts w:ascii="Times New Roman" w:hAnsi="Times New Roman" w:cs="Times New Roman"/>
          <w:sz w:val="26"/>
          <w:szCs w:val="26"/>
        </w:rPr>
        <w:t>,</w:t>
      </w:r>
      <w:r w:rsidR="00E91087" w:rsidRPr="000636BA">
        <w:rPr>
          <w:rFonts w:ascii="Times New Roman" w:hAnsi="Times New Roman" w:cs="Times New Roman"/>
          <w:sz w:val="26"/>
          <w:szCs w:val="26"/>
        </w:rPr>
        <w:t>421</w:t>
      </w:r>
      <w:r w:rsidRPr="000636BA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0636BA">
        <w:rPr>
          <w:rFonts w:ascii="Times New Roman" w:hAnsi="Times New Roman" w:cs="Times New Roman"/>
          <w:sz w:val="26"/>
          <w:szCs w:val="26"/>
        </w:rPr>
        <w:t>9</w:t>
      </w:r>
      <w:r w:rsidR="00E91087" w:rsidRPr="000636BA">
        <w:rPr>
          <w:rFonts w:ascii="Times New Roman" w:hAnsi="Times New Roman" w:cs="Times New Roman"/>
          <w:sz w:val="26"/>
          <w:szCs w:val="26"/>
        </w:rPr>
        <w:t>5</w:t>
      </w:r>
      <w:r w:rsidRPr="000636BA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0636BA">
        <w:rPr>
          <w:rFonts w:ascii="Times New Roman" w:hAnsi="Times New Roman" w:cs="Times New Roman"/>
          <w:sz w:val="26"/>
          <w:szCs w:val="26"/>
        </w:rPr>
        <w:t>100% = 1</w:t>
      </w:r>
      <w:r w:rsidR="00E91087" w:rsidRPr="000636BA">
        <w:rPr>
          <w:rFonts w:ascii="Times New Roman" w:hAnsi="Times New Roman" w:cs="Times New Roman"/>
          <w:sz w:val="26"/>
          <w:szCs w:val="26"/>
        </w:rPr>
        <w:t>21,5</w:t>
      </w:r>
      <w:r w:rsidRPr="000636BA">
        <w:rPr>
          <w:rFonts w:ascii="Times New Roman" w:hAnsi="Times New Roman" w:cs="Times New Roman"/>
          <w:sz w:val="26"/>
          <w:szCs w:val="26"/>
        </w:rPr>
        <w:t xml:space="preserve">% – эффективное выполнение показателя. </w:t>
      </w:r>
    </w:p>
    <w:p w14:paraId="6CF9A23A" w14:textId="77777777" w:rsidR="00DF4C74" w:rsidRPr="000636BA" w:rsidRDefault="00DF4C74" w:rsidP="000636BA">
      <w:pPr>
        <w:pStyle w:val="ConsPlusNormal0"/>
        <w:widowControl/>
        <w:ind w:firstLine="426"/>
        <w:outlineLvl w:val="1"/>
        <w:rPr>
          <w:rFonts w:ascii="Times New Roman" w:hAnsi="Times New Roman" w:cs="Times New Roman"/>
          <w:sz w:val="26"/>
          <w:szCs w:val="26"/>
        </w:rPr>
      </w:pPr>
    </w:p>
    <w:p w14:paraId="3FD17B2A" w14:textId="5E39AD77" w:rsidR="00DF4C74" w:rsidRPr="008E568A" w:rsidRDefault="00DF4C74" w:rsidP="000636BA">
      <w:pPr>
        <w:pStyle w:val="ConsPlusNormal0"/>
        <w:widowControl/>
        <w:ind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8E568A">
        <w:rPr>
          <w:rFonts w:ascii="Times New Roman" w:hAnsi="Times New Roman" w:cs="Times New Roman"/>
          <w:sz w:val="26"/>
          <w:szCs w:val="26"/>
        </w:rPr>
        <w:t>Расчет эффективности Программы за 202</w:t>
      </w:r>
      <w:r w:rsidR="00A1340F" w:rsidRPr="008E568A">
        <w:rPr>
          <w:rFonts w:ascii="Times New Roman" w:hAnsi="Times New Roman" w:cs="Times New Roman"/>
          <w:sz w:val="26"/>
          <w:szCs w:val="26"/>
        </w:rPr>
        <w:t>4</w:t>
      </w:r>
      <w:r w:rsidRPr="008E568A">
        <w:rPr>
          <w:rFonts w:ascii="Times New Roman" w:hAnsi="Times New Roman" w:cs="Times New Roman"/>
          <w:sz w:val="26"/>
          <w:szCs w:val="26"/>
        </w:rPr>
        <w:t xml:space="preserve"> год:</w:t>
      </w:r>
    </w:p>
    <w:p w14:paraId="4F44A657" w14:textId="0E46ADCE" w:rsidR="00DF4C74" w:rsidRPr="008E568A" w:rsidRDefault="00DF4C74" w:rsidP="000636B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E568A">
        <w:rPr>
          <w:rFonts w:ascii="Times New Roman" w:hAnsi="Times New Roman" w:cs="Times New Roman"/>
          <w:bCs/>
          <w:sz w:val="26"/>
          <w:szCs w:val="26"/>
        </w:rPr>
        <w:t>(</w:t>
      </w:r>
      <w:r w:rsidR="008E0A3A" w:rsidRPr="008E568A">
        <w:rPr>
          <w:rFonts w:ascii="Times New Roman" w:hAnsi="Times New Roman" w:cs="Times New Roman"/>
          <w:sz w:val="26"/>
          <w:szCs w:val="26"/>
        </w:rPr>
        <w:t>122,0%+137,0%+116,7%+153,0%+155,9%+157,6%+</w:t>
      </w:r>
      <w:r w:rsidR="00866525" w:rsidRPr="008E568A">
        <w:rPr>
          <w:rFonts w:ascii="Times New Roman" w:hAnsi="Times New Roman" w:cs="Times New Roman"/>
          <w:sz w:val="26"/>
          <w:szCs w:val="26"/>
        </w:rPr>
        <w:t>100,0%+</w:t>
      </w:r>
      <w:r w:rsidR="008E0A3A" w:rsidRPr="008E568A">
        <w:rPr>
          <w:rFonts w:ascii="Times New Roman" w:hAnsi="Times New Roman" w:cs="Times New Roman"/>
          <w:sz w:val="26"/>
          <w:szCs w:val="26"/>
        </w:rPr>
        <w:t>868,8%+119,4%+100,0%+100,0%</w:t>
      </w:r>
      <w:r w:rsidR="009B50DC" w:rsidRPr="008E568A">
        <w:rPr>
          <w:rFonts w:ascii="Times New Roman" w:hAnsi="Times New Roman" w:cs="Times New Roman"/>
          <w:sz w:val="26"/>
          <w:szCs w:val="26"/>
        </w:rPr>
        <w:t>+100,0%+100,0%+ 121,5%</w:t>
      </w:r>
      <w:r w:rsidR="00DF6C45" w:rsidRPr="008E568A">
        <w:rPr>
          <w:rFonts w:ascii="Times New Roman" w:hAnsi="Times New Roman" w:cs="Times New Roman"/>
          <w:sz w:val="26"/>
          <w:szCs w:val="26"/>
        </w:rPr>
        <w:t>)/</w:t>
      </w:r>
      <w:r w:rsidRPr="008E568A">
        <w:rPr>
          <w:rFonts w:ascii="Times New Roman" w:hAnsi="Times New Roman" w:cs="Times New Roman"/>
          <w:bCs/>
          <w:sz w:val="26"/>
          <w:szCs w:val="26"/>
        </w:rPr>
        <w:t>1</w:t>
      </w:r>
      <w:r w:rsidR="00AD1C25" w:rsidRPr="008E568A">
        <w:rPr>
          <w:rFonts w:ascii="Times New Roman" w:hAnsi="Times New Roman" w:cs="Times New Roman"/>
          <w:bCs/>
          <w:sz w:val="26"/>
          <w:szCs w:val="26"/>
        </w:rPr>
        <w:t>4</w:t>
      </w:r>
      <w:r w:rsidRPr="008E56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68A">
        <w:rPr>
          <w:rFonts w:ascii="Times New Roman" w:hAnsi="Times New Roman" w:cs="Times New Roman"/>
          <w:sz w:val="26"/>
          <w:szCs w:val="26"/>
        </w:rPr>
        <w:t xml:space="preserve">= </w:t>
      </w:r>
      <w:r w:rsidR="00866525" w:rsidRPr="008E568A">
        <w:rPr>
          <w:rFonts w:ascii="Times New Roman" w:hAnsi="Times New Roman" w:cs="Times New Roman"/>
          <w:sz w:val="26"/>
          <w:szCs w:val="26"/>
        </w:rPr>
        <w:t>17</w:t>
      </w:r>
      <w:r w:rsidR="00AD1C25" w:rsidRPr="008E568A">
        <w:rPr>
          <w:rFonts w:ascii="Times New Roman" w:hAnsi="Times New Roman" w:cs="Times New Roman"/>
          <w:sz w:val="26"/>
          <w:szCs w:val="26"/>
        </w:rPr>
        <w:t>5,1</w:t>
      </w:r>
      <w:r w:rsidR="00866525" w:rsidRPr="008E568A">
        <w:rPr>
          <w:rFonts w:ascii="Times New Roman" w:hAnsi="Times New Roman" w:cs="Times New Roman"/>
          <w:sz w:val="26"/>
          <w:szCs w:val="26"/>
        </w:rPr>
        <w:t>%</w:t>
      </w:r>
    </w:p>
    <w:p w14:paraId="17AE4860" w14:textId="77777777" w:rsidR="00DF4C74" w:rsidRPr="008E568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1B4C84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56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Оценка степени достижения запланированного уровня затрат - фактически </w:t>
      </w: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произведенные затраты на реализацию основных мероприятий Программы сопоставляются с их плановыми значениями и рассчитывается по формуле:</w:t>
      </w:r>
    </w:p>
    <w:p w14:paraId="76531BEC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ЭБ = БИ/БУ*100%, где:</w:t>
      </w:r>
    </w:p>
    <w:p w14:paraId="6D6320DF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t>ЭБ</w:t>
      </w: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значение индекса степени достижения запланированного уровня затрат;</w:t>
      </w:r>
    </w:p>
    <w:p w14:paraId="0EF0F9D6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t>БИ</w:t>
      </w: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кассовое исполнение бюджетных расходов по обеспечению реализации мероприятий Программы;</w:t>
      </w:r>
    </w:p>
    <w:p w14:paraId="4DAD2CBB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t>БУ</w:t>
      </w: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лимиты бюджетных обязательств.</w:t>
      </w:r>
    </w:p>
    <w:p w14:paraId="0799DF4C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Эффективным является использование бюджетных средств на реализацию Программы при значении показателя ЭБ от 95% и выше.</w:t>
      </w: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182686" w14:textId="3868E844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степени</w:t>
      </w: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достижения запланированного уровня затрат за 202</w:t>
      </w:r>
      <w:r w:rsidR="00392BF5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063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год:</w:t>
      </w:r>
    </w:p>
    <w:p w14:paraId="7A8ABA31" w14:textId="7986DBD4" w:rsidR="00DF4C74" w:rsidRPr="000636BA" w:rsidRDefault="00E933DE" w:rsidP="0006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36 367</w:t>
      </w:r>
      <w:r w:rsidR="00DF4C74"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F4C74"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36 367,0 </w:t>
      </w:r>
      <w:r w:rsidR="00DF4C74" w:rsidRPr="000636BA">
        <w:rPr>
          <w:rFonts w:ascii="Times New Roman" w:eastAsia="Times New Roman" w:hAnsi="Times New Roman" w:cs="Times New Roman"/>
          <w:sz w:val="26"/>
          <w:szCs w:val="26"/>
          <w:lang w:eastAsia="ru-RU"/>
        </w:rPr>
        <w:t>*100%=</w:t>
      </w:r>
      <w:r w:rsidR="00DF4C74" w:rsidRPr="000636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100%.</w:t>
      </w:r>
    </w:p>
    <w:p w14:paraId="44A237E9" w14:textId="77777777" w:rsidR="00DF4C74" w:rsidRPr="000636BA" w:rsidRDefault="00DF4C74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476A414C" w14:textId="77777777" w:rsidR="00037199" w:rsidRPr="000636BA" w:rsidRDefault="00037199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221EA72A" w14:textId="018CBDEC" w:rsidR="00112C63" w:rsidRPr="000636BA" w:rsidRDefault="00037199" w:rsidP="000636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</w:rPr>
        <w:t>Сведения о результатах оценки эффективности налоговых расходов</w:t>
      </w:r>
    </w:p>
    <w:p w14:paraId="585443B6" w14:textId="7DC9FAF6" w:rsidR="00FF5D46" w:rsidRPr="000636BA" w:rsidRDefault="00FF5D46" w:rsidP="0006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6BA">
        <w:rPr>
          <w:rFonts w:ascii="Times New Roman" w:hAnsi="Times New Roman" w:cs="Times New Roman"/>
          <w:sz w:val="26"/>
          <w:szCs w:val="26"/>
          <w:lang w:eastAsia="ru-RU"/>
        </w:rPr>
        <w:t>Сведения о результатах оценки эффективности налоговых расходов за 2024 год приведены в приложении 5.</w:t>
      </w:r>
    </w:p>
    <w:p w14:paraId="4713E37C" w14:textId="77777777" w:rsidR="00112C63" w:rsidRPr="00104995" w:rsidRDefault="00112C63" w:rsidP="001101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08EA6391" w14:textId="77777777" w:rsidR="004F5161" w:rsidRPr="00104995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E8C5BB" w14:textId="77777777" w:rsidR="004F5161" w:rsidRPr="00104995" w:rsidRDefault="004F5161" w:rsidP="004F51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F5161" w:rsidRPr="00104995" w:rsidSect="004F5161">
          <w:pgSz w:w="11906" w:h="16838"/>
          <w:pgMar w:top="709" w:right="566" w:bottom="709" w:left="1701" w:header="568" w:footer="709" w:gutter="0"/>
          <w:pgNumType w:start="1"/>
          <w:cols w:space="720"/>
        </w:sectPr>
      </w:pPr>
    </w:p>
    <w:p w14:paraId="51F67C63" w14:textId="77777777" w:rsidR="004F5161" w:rsidRPr="00104995" w:rsidRDefault="004F5161" w:rsidP="004F5161">
      <w:pPr>
        <w:pStyle w:val="a3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0499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14:paraId="780EB98E" w14:textId="77777777" w:rsidR="004F5161" w:rsidRPr="00104995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104995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Сведения</w:t>
      </w:r>
    </w:p>
    <w:p w14:paraId="67F16363" w14:textId="77777777" w:rsidR="004F5161" w:rsidRPr="00104995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104995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о достижении значений целевых показателей (индикаторов)</w:t>
      </w:r>
    </w:p>
    <w:p w14:paraId="327EAEE6" w14:textId="77777777" w:rsidR="004F5161" w:rsidRPr="00104995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0"/>
        <w:gridCol w:w="2785"/>
        <w:gridCol w:w="2375"/>
        <w:gridCol w:w="1225"/>
        <w:gridCol w:w="1116"/>
        <w:gridCol w:w="779"/>
        <w:gridCol w:w="976"/>
        <w:gridCol w:w="1041"/>
        <w:gridCol w:w="2486"/>
        <w:gridCol w:w="1855"/>
      </w:tblGrid>
      <w:tr w:rsidR="004F5161" w:rsidRPr="00104995" w14:paraId="433E6E25" w14:textId="77777777" w:rsidTr="00121C14">
        <w:trPr>
          <w:cantSplit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708A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46CE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/>
                <w:bCs/>
                <w:sz w:val="24"/>
                <w:szCs w:val="24"/>
              </w:rPr>
              <w:t>Цель, задача направленная на достижение цели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4386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3ABB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39C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Значение показателя (индикатора) муниципальной программы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C30B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/>
                <w:bCs/>
                <w:sz w:val="24"/>
                <w:szCs w:val="24"/>
              </w:rPr>
              <w:t>Расчет значения показателя (индикатора)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6200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отклонения значения показателя (индикатора) на конец отчетного года, других изменений по показателям</w:t>
            </w:r>
          </w:p>
        </w:tc>
      </w:tr>
      <w:tr w:rsidR="004F5161" w:rsidRPr="00104995" w14:paraId="0E9F76B5" w14:textId="77777777" w:rsidTr="00121C14">
        <w:trPr>
          <w:cantSplit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5A9B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CBFF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A765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722F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A28" w14:textId="4A5C4D0E" w:rsidR="004F5161" w:rsidRPr="00104995" w:rsidRDefault="00E2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0E3" w14:textId="001D3860" w:rsidR="004F5161" w:rsidRPr="00104995" w:rsidRDefault="00E2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CE00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D887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161" w:rsidRPr="00104995" w14:paraId="22C88758" w14:textId="77777777" w:rsidTr="00121C14">
        <w:trPr>
          <w:cantSplit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B20F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94AF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CFFF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3BFB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FDEC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C99" w14:textId="045498D2" w:rsidR="004F5161" w:rsidRPr="00104995" w:rsidRDefault="00E2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BD0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26088C9" w14:textId="770DF827" w:rsidR="00E2358C" w:rsidRPr="00104995" w:rsidRDefault="00E2358C" w:rsidP="00E2358C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3A45" w14:textId="0F938842" w:rsidR="004F5161" w:rsidRPr="00104995" w:rsidRDefault="00E2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4C33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FFFE" w14:textId="77777777" w:rsidR="004F5161" w:rsidRPr="00104995" w:rsidRDefault="004F5161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161" w:rsidRPr="00104995" w14:paraId="21703982" w14:textId="77777777" w:rsidTr="00121C14">
        <w:trPr>
          <w:cantSplit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0D2B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E80F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858E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7DF7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D5A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09F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DEF5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2383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2F82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5CAD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4F5161" w:rsidRPr="00104995" w14:paraId="60AFED1C" w14:textId="77777777" w:rsidTr="00456BB0">
        <w:tc>
          <w:tcPr>
            <w:tcW w:w="15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FD7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61" w:rsidRPr="00104995" w14:paraId="1A7F0EF7" w14:textId="77777777" w:rsidTr="00456BB0">
        <w:tc>
          <w:tcPr>
            <w:tcW w:w="15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3B7D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95">
              <w:rPr>
                <w:rFonts w:ascii="PT Serif" w:hAnsi="PT Serif"/>
                <w:shd w:val="clear" w:color="auto" w:fill="FFFFFF"/>
              </w:rPr>
              <w:t>Цель: 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      </w:r>
          </w:p>
        </w:tc>
      </w:tr>
      <w:tr w:rsidR="007C2F3F" w:rsidRPr="00104995" w14:paraId="1E27B83D" w14:textId="77777777" w:rsidTr="00F6167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EA6E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497C" w14:textId="77777777" w:rsidR="007C2F3F" w:rsidRPr="00104995" w:rsidRDefault="007C2F3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Задачи:</w:t>
            </w:r>
          </w:p>
          <w:p w14:paraId="6E5B1DD8" w14:textId="77777777" w:rsidR="007C2F3F" w:rsidRPr="00104995" w:rsidRDefault="007C2F3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1. Обеспечение доступности инфраструктуры поддержки малого и среднего предпринимательства;</w:t>
            </w:r>
          </w:p>
          <w:p w14:paraId="3894D4CA" w14:textId="77777777" w:rsidR="007C2F3F" w:rsidRPr="00104995" w:rsidRDefault="007C2F3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2. Содействие развитию действующих субъектов малого и среднего предпринимательства и появлению новых субъектов малого и среднего </w:t>
            </w: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lastRenderedPageBreak/>
              <w:t>предпринимательства;</w:t>
            </w:r>
          </w:p>
          <w:p w14:paraId="40B423D2" w14:textId="77777777" w:rsidR="007C2F3F" w:rsidRPr="00104995" w:rsidRDefault="007C2F3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3. Стимулирование к расширению рынков сбыта, повышению конкурентоспособности субъектов малого и среднего предпринимательства;</w:t>
            </w:r>
          </w:p>
          <w:p w14:paraId="59CF1258" w14:textId="77777777" w:rsidR="007C2F3F" w:rsidRPr="00104995" w:rsidRDefault="007C2F3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5. Содействие в реализации инвестиционных проектов;</w:t>
            </w:r>
          </w:p>
          <w:p w14:paraId="77FF98C0" w14:textId="77777777" w:rsidR="007C2F3F" w:rsidRPr="00104995" w:rsidRDefault="007C2F3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6. Формирование положительного инвестиционного и туристического имиджа города;</w:t>
            </w:r>
          </w:p>
          <w:p w14:paraId="2393F556" w14:textId="77777777" w:rsidR="007C2F3F" w:rsidRPr="00104995" w:rsidRDefault="007C2F3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8. Развитие внутреннего и въездного туризма.</w:t>
            </w:r>
          </w:p>
          <w:p w14:paraId="7E37BA2E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8407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Количество мероприятий, направленных на развитие предпринимательства, инвестиционного и туристического потенциала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CA32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CF35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0596" w14:textId="7FB3FE00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 450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374" w14:textId="63B5A82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22C9" w14:textId="216599BE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466C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Суммарное количество проведенных мероприятий за отчетный период нарастающим итогом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DC3" w14:textId="5C67CE4A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Перевыполнение показателя связано с организацией большего количества мероприятий, чем запланировано</w:t>
            </w:r>
          </w:p>
        </w:tc>
      </w:tr>
      <w:tr w:rsidR="007C2F3F" w:rsidRPr="00104995" w14:paraId="1A1EB0F5" w14:textId="77777777" w:rsidTr="00F6167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D10D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7D834" w14:textId="77777777" w:rsidR="007C2F3F" w:rsidRPr="00104995" w:rsidRDefault="007C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4617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развитие предпринимательства. инвестиционного и туристического потенциала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BC4B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5E37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3 047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442" w14:textId="4E8958A0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 3 350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FDD9" w14:textId="00743F99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4 588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EAD" w14:textId="775FBCC8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DB9A" w14:textId="77777777" w:rsidR="007C2F3F" w:rsidRPr="00104995" w:rsidRDefault="007C2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участников за отчетный период нарастающим итогом в течение года.</w:t>
            </w:r>
          </w:p>
          <w:p w14:paraId="1B808B19" w14:textId="77777777" w:rsidR="007C2F3F" w:rsidRPr="00104995" w:rsidRDefault="007C2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участникам относятся представители субъектов МСП, физические лица,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заинтересованные в создании бизнеса, физические лица, применяющие специальный налоговый режим «Налог на профессиональный доход», представители общественных объединений предпринимателей, представители НКО, ведущих или планирующих вести предпринимательскую деятельность, зарегистрированные в городе Череповце, инвесторы. При участии от одного</w:t>
            </w:r>
          </w:p>
          <w:p w14:paraId="2D650424" w14:textId="77777777" w:rsidR="007C2F3F" w:rsidRPr="00104995" w:rsidRDefault="007C2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 МСП нескольких представителей, в расчет показателя включается количество представителей.</w:t>
            </w:r>
          </w:p>
          <w:p w14:paraId="175CAC8D" w14:textId="77777777" w:rsidR="007C2F3F" w:rsidRPr="00104995" w:rsidRDefault="007C2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>В расчет показателей не входят представители органов власти, инфраструктуры поддержки МСП.</w:t>
            </w:r>
          </w:p>
          <w:p w14:paraId="59545E09" w14:textId="77777777" w:rsidR="007C2F3F" w:rsidRPr="00104995" w:rsidRDefault="007C2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организации мероприятий, направленных на развитие внутреннего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въездного туризма, могут быть учтены представители юридических лиц, НКО, органов власти, инфраструктуры поддержки МСП и пр., в т.ч. незарегистрированные в городе Череповце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DAF" w14:textId="463C3F0E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Перевыполнение показателя связано с организацией большего количества мероприятий, чем запланировано</w:t>
            </w:r>
          </w:p>
        </w:tc>
      </w:tr>
      <w:tr w:rsidR="007C2F3F" w:rsidRPr="00104995" w14:paraId="731FAA33" w14:textId="77777777" w:rsidTr="00F6167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6B31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7F584" w14:textId="77777777" w:rsidR="007C2F3F" w:rsidRPr="00104995" w:rsidRDefault="007C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A411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консультаций и услуг</w:t>
            </w:r>
            <w:r w:rsidRPr="0010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в том числе для туристов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F539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4566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3 615, в т.ч. 525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5502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менее </w:t>
            </w:r>
          </w:p>
          <w:p w14:paraId="23F930B4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2 960, в т.ч. 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059" w14:textId="2D2A03DB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3 455, в т.ч. 765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0B2" w14:textId="47264E4E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116,7, в т.ч. 153,0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A8C1" w14:textId="77777777" w:rsidR="007C2F3F" w:rsidRPr="00104995" w:rsidRDefault="007C2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проведенных консультаций и оказанных услуг за отчетный период, с выделением</w:t>
            </w:r>
            <w:r w:rsidRPr="00104995">
              <w:rPr>
                <w:sz w:val="24"/>
                <w:szCs w:val="24"/>
              </w:rPr>
              <w:t xml:space="preserve">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 числе количества консультаций и услуг туристического профиля, нарастающим итогом в течение года. </w:t>
            </w:r>
          </w:p>
          <w:p w14:paraId="3A3CB0A8" w14:textId="77777777" w:rsidR="007C2F3F" w:rsidRPr="00104995" w:rsidRDefault="007C2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Получателями консультаций и услуг могут быть зарегистрированные в городе Череповце субъекты МСП, НКО, физические лица, обратившиеся по вопросам создания собственного дела и деятельности АНО АГР, физические лица, применяющие специальный налоговый режим «Налог на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профессиональный доход», инвесторы (в т.ч. не зарегистрированные в городе Череповце). Также получателями консультаций и услуг могут быть физические и юридические лица, НКО, обратившиеся по вопросам туристического профиля в туристско-информационный центр (независимо от места регистрации)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DE1" w14:textId="32628050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Перевыполнение показателя связано с большим количеством обратившихся за консультацией</w:t>
            </w:r>
          </w:p>
        </w:tc>
      </w:tr>
      <w:tr w:rsidR="007C2F3F" w:rsidRPr="00104995" w14:paraId="103951FD" w14:textId="77777777" w:rsidTr="00F6167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6216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CADB3" w14:textId="77777777" w:rsidR="007C2F3F" w:rsidRPr="00104995" w:rsidRDefault="007C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7F59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Количество новых субъектов МСП, зарегистрированных гражданами, получившими поддержку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5293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91B1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074B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9D6" w14:textId="343D999E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64F" w14:textId="1E07942C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2CA1" w14:textId="77777777" w:rsidR="007C2F3F" w:rsidRPr="00104995" w:rsidRDefault="007C2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Считается нарастающий итог, </w:t>
            </w:r>
            <w:r w:rsidRPr="00104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прибавленный к результату за 2021 год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основании фактического значения, отраженного в отчете по муниципальной программе «Поддержка и развитие малого и среднего предпринимательства, инвестиционной привлекательности в городе Череповце на 2020 - 2024 годы»). Учитывается количество зарегистрированных на территории города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Череповца субъектов МСП и самозанятых граждан из числа участников мероприятий, обучившихся или проконсультированных не ранее 2020 года в АНО АГР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037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sz w:val="24"/>
                <w:szCs w:val="24"/>
              </w:rPr>
              <w:lastRenderedPageBreak/>
              <w:t>Перевыполнение связано с регистрацией больше ожидаемого количества субъектов МСП и самозанятых граждан.</w:t>
            </w:r>
          </w:p>
          <w:p w14:paraId="7E11E98A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2F3F" w:rsidRPr="00104995" w14:paraId="4FF55F30" w14:textId="77777777" w:rsidTr="00F6167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1E52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6E73C" w14:textId="77777777" w:rsidR="007C2F3F" w:rsidRPr="00104995" w:rsidRDefault="007C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D286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сообщений в СМИ о мероприятиях органов местного самоуправления г. Череповца по развитию МСП, туристической и инвестиционной привлекательности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347A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DEF8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2 275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C835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менее </w:t>
            </w:r>
          </w:p>
          <w:p w14:paraId="78DA533F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85A" w14:textId="1949628A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2 364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D743" w14:textId="3C50E25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F4C3" w14:textId="77777777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информационных сообщений в СМИ о мероприятиях органов местного самоуправления и организаций инфраструктуры поддержки МСП г. Череповца по развитию МСП, туристической и инвестиционной привлекательности за отчетный период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B5C" w14:textId="73FB1271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Перевыполнение показателя связано с большим количеством информационных поводов</w:t>
            </w:r>
          </w:p>
        </w:tc>
      </w:tr>
      <w:tr w:rsidR="007C2F3F" w:rsidRPr="00104995" w14:paraId="0026B524" w14:textId="77777777" w:rsidTr="00F6167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AE2" w14:textId="391A96AE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2B0A" w14:textId="77777777" w:rsidR="007C2F3F" w:rsidRPr="00104995" w:rsidRDefault="007C2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52F" w14:textId="17C2A7B0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мобильных пунктов быстрого питания города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F8B" w14:textId="37022F7B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9EAC" w14:textId="69E4627D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AE6" w14:textId="79A34952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C7F0" w14:textId="0840CEEC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0660" w14:textId="7DC23A23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F98" w14:textId="1BE3D876" w:rsidR="007C2F3F" w:rsidRPr="00104995" w:rsidRDefault="0096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CB2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приобретенных мобильных пунктов быстрого питания города в 2024 году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EF8" w14:textId="6E275664" w:rsidR="007C2F3F" w:rsidRPr="00104995" w:rsidRDefault="007C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выполнен в полном объеме</w:t>
            </w:r>
          </w:p>
        </w:tc>
      </w:tr>
      <w:tr w:rsidR="004F5161" w:rsidRPr="00104995" w14:paraId="0425EFA5" w14:textId="77777777" w:rsidTr="00456BB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9B51" w14:textId="1C724C44" w:rsidR="004F5161" w:rsidRPr="00104995" w:rsidRDefault="0016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4F6" w14:textId="77777777" w:rsidR="004F5161" w:rsidRPr="00104995" w:rsidRDefault="004F5161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Задачи:</w:t>
            </w:r>
          </w:p>
          <w:p w14:paraId="34BCA699" w14:textId="77777777" w:rsidR="004F5161" w:rsidRPr="00104995" w:rsidRDefault="004F5161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4. Привлечение инвестиций в экономику города</w:t>
            </w:r>
          </w:p>
          <w:p w14:paraId="444FFE45" w14:textId="77777777" w:rsidR="004F5161" w:rsidRPr="00104995" w:rsidRDefault="004F5161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5. Содействие в реализации </w:t>
            </w: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lastRenderedPageBreak/>
              <w:t>инвестиционных проектов</w:t>
            </w:r>
          </w:p>
          <w:p w14:paraId="4BDA69DE" w14:textId="77777777" w:rsidR="004F5161" w:rsidRPr="00104995" w:rsidRDefault="004F5161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6. Формирование положительного инвестиционного и туристического имиджа города</w:t>
            </w:r>
          </w:p>
          <w:p w14:paraId="151C4A75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380D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ADA" w14:textId="6B29FCC5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F677A8" w:rsidRPr="00104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580D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3 253,137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AFCF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2 760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DCF" w14:textId="0CE25BEA" w:rsidR="004F5161" w:rsidRPr="00104995" w:rsidRDefault="000F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23 977,665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538" w14:textId="72B3051D" w:rsidR="004F5161" w:rsidRPr="00104995" w:rsidRDefault="000F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868,</w:t>
            </w:r>
            <w:r w:rsidR="00FA2BC1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E69B" w14:textId="0D8E6A5E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Считается нарастающий итог суммарного объема инвестиций, заявленных инвестором, прибавленный к фактическому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результату </w:t>
            </w:r>
            <w:r w:rsidRPr="00104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2021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>год (на основании фактического значения, отраженного в отчете по муниципальной программе «Поддержка и развитие малого и среднего предпринимательства</w:t>
            </w:r>
            <w:r w:rsidR="008D06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инвестиционной привлекательности в городе Череповце на 2020 - 2024 годы»)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CA7F" w14:textId="7F7BCD9F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Показатель перевыполнен с учетом того, что применяется расчет нарастающего итога, который на конец предыдущего года уже превысил </w:t>
            </w: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плановое значение текущего года. В   2024 году также были представлены не планировавшие ранее к реализации проекты: парк «Мармелад», Универсально-оздоровительный комплекс в Зареченском районе, </w:t>
            </w:r>
          </w:p>
          <w:p w14:paraId="71AC203B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завода по производству импортозамещающей продукции, производство одноковшовых полноповоротных экскаваторов и погрузчиков,        </w:t>
            </w:r>
          </w:p>
          <w:p w14:paraId="735D7D2E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завода по производству импортозамещающей продукции металлоконструкций строительных и их частей,     </w:t>
            </w:r>
          </w:p>
          <w:p w14:paraId="64983064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комфортного дорожного отеля, завод по производству льняной целлюлозы,   </w:t>
            </w:r>
          </w:p>
          <w:p w14:paraId="3D854EB6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>завод по производству импортозамещающей продукции "базовые масла</w:t>
            </w:r>
            <w:proofErr w:type="gramStart"/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",   </w:t>
            </w:r>
            <w:proofErr w:type="gramEnd"/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логистического </w:t>
            </w: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склада (хаба),   </w:t>
            </w:r>
          </w:p>
          <w:p w14:paraId="3E29628D" w14:textId="77777777" w:rsidR="001B4A5E" w:rsidRPr="00104995" w:rsidRDefault="001B4A5E" w:rsidP="001B4A5E">
            <w:pPr>
              <w:pStyle w:val="a6"/>
              <w:rPr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предприятия по переработке молока в г. Череповце.              </w:t>
            </w:r>
          </w:p>
          <w:p w14:paraId="426DAA2A" w14:textId="54B68B2C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161" w:rsidRPr="00104995" w14:paraId="0AB73B36" w14:textId="77777777" w:rsidTr="000F70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2D03" w14:textId="43B47AC8" w:rsidR="004F5161" w:rsidRPr="00104995" w:rsidRDefault="0016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9C0B" w14:textId="77777777" w:rsidR="004F5161" w:rsidRPr="00104995" w:rsidRDefault="004F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FE35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проектов, принятых к реализации на инвестиционном совете мэрии города Череповца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F12C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0E7C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7B4C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AB0" w14:textId="1774A360" w:rsidR="004F5161" w:rsidRPr="00104995" w:rsidRDefault="00E2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881A" w14:textId="77FA62C1" w:rsidR="004F5161" w:rsidRPr="00104995" w:rsidRDefault="00E2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119,</w:t>
            </w:r>
            <w:r w:rsidR="00FA2BC1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213" w14:textId="77777777" w:rsidR="004F5161" w:rsidRPr="00104995" w:rsidRDefault="004F5161">
            <w:pPr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проектов, принятых к реализации на инвестиционном совете мэрии г. Череповца, нарастающим итогом на отчетную дату, начиная с 2014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EE5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перевыполнен с учетом того, что применяется расчет нарастающего итога, который на конец предыдущего года уже превысил плановое значение текущего года. В   2024 году также были представлены не планировавшие ранее к реализации проекты: парк «Мармелад», Универсально-оздоровительный комплекс в Зареченском районе, </w:t>
            </w:r>
          </w:p>
          <w:p w14:paraId="79D4B472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завода по производству импортозамещающей продукции, производство одноковшовых полноповоротных экскаваторов и погрузчиков,        </w:t>
            </w:r>
          </w:p>
          <w:p w14:paraId="701B6E86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>строительство завода по производству импортозамещающей продукции металлоконструкц</w:t>
            </w: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ий строительных и их частей,     </w:t>
            </w:r>
          </w:p>
          <w:p w14:paraId="676C0749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комфортного дорожного отеля, завод по производству льняной целлюлозы,   </w:t>
            </w:r>
          </w:p>
          <w:p w14:paraId="3660580F" w14:textId="77777777" w:rsidR="001B4A5E" w:rsidRPr="00104995" w:rsidRDefault="001B4A5E" w:rsidP="001B4A5E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>завод по производству импортозамещающей продукции "базовые масла</w:t>
            </w:r>
            <w:proofErr w:type="gramStart"/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",   </w:t>
            </w:r>
            <w:proofErr w:type="gramEnd"/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логистического склада (хаба),   </w:t>
            </w:r>
          </w:p>
          <w:p w14:paraId="291EF771" w14:textId="77777777" w:rsidR="001B4A5E" w:rsidRPr="00104995" w:rsidRDefault="001B4A5E" w:rsidP="001B4A5E">
            <w:pPr>
              <w:pStyle w:val="a6"/>
              <w:rPr>
                <w:sz w:val="20"/>
                <w:szCs w:val="20"/>
              </w:rPr>
            </w:pPr>
            <w:r w:rsidRPr="00104995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предприятия по переработке молока в г. Череповце.              </w:t>
            </w:r>
          </w:p>
          <w:p w14:paraId="154171CB" w14:textId="38FFBE29" w:rsidR="004F5161" w:rsidRPr="00104995" w:rsidRDefault="004F5161">
            <w:pPr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5161" w:rsidRPr="00104995" w14:paraId="34346A1E" w14:textId="77777777" w:rsidTr="00456BB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3E84" w14:textId="3F8F059B" w:rsidR="004F5161" w:rsidRPr="00104995" w:rsidRDefault="0016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14C3" w14:textId="77777777" w:rsidR="004F5161" w:rsidRPr="00104995" w:rsidRDefault="004F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4944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Количество предлагаемых городом инвестиционных площадок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9A08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070F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C8B5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DB4" w14:textId="5ADCB968" w:rsidR="004F5161" w:rsidRPr="00104995" w:rsidRDefault="00E2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3D7" w14:textId="5B55C550" w:rsidR="004F5161" w:rsidRPr="00104995" w:rsidRDefault="00E2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="00FA2BC1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8396" w14:textId="77777777" w:rsidR="004F5161" w:rsidRPr="00104995" w:rsidRDefault="004F5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Суммарное количество инвестиционных площадок города Череповца, предлагаемых в течение отчетного года, указанных на инвестиционной карте города, размещенной на сайте АНО АГР. Данные в карту заносятся на основании информации о свободных земельных участках и территориях под реализацию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инвестиционных проектов, предоставляемой Комитетом по управлению имуществом города и Управлением архитектуры и градостроительства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1272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выполнен в полном объеме.</w:t>
            </w:r>
          </w:p>
        </w:tc>
      </w:tr>
      <w:tr w:rsidR="004F5161" w:rsidRPr="00104995" w14:paraId="57C717AB" w14:textId="77777777" w:rsidTr="008E226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DE68" w14:textId="3CFA3B6B" w:rsidR="004F5161" w:rsidRPr="00104995" w:rsidRDefault="0016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FFF" w14:textId="77777777" w:rsidR="004F5161" w:rsidRPr="00104995" w:rsidRDefault="004F5161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Задача:</w:t>
            </w:r>
          </w:p>
          <w:p w14:paraId="3C4A18E9" w14:textId="77777777" w:rsidR="004F5161" w:rsidRPr="00104995" w:rsidRDefault="004F5161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2. Содействие развитию действующих субъектов малого и среднего предпринимательства и появлению новых субъектов малого и среднего предпринимательства</w:t>
            </w:r>
          </w:p>
          <w:p w14:paraId="01AA833B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715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имущества, земельных участков в Перечне муниципального имущества, предназначенного для предоставления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МСП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1066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D344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A777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5490" w14:textId="150527AC" w:rsidR="004F5161" w:rsidRPr="00104995" w:rsidRDefault="008E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EFAE" w14:textId="67F98E3C" w:rsidR="004F5161" w:rsidRPr="00104995" w:rsidRDefault="008E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AEE4" w14:textId="71F34144" w:rsidR="008E226F" w:rsidRPr="00104995" w:rsidRDefault="008E226F" w:rsidP="001D399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муниципального имущества подлежит ежегодному дополнению не менее чем на 10 %.</w:t>
            </w:r>
          </w:p>
          <w:p w14:paraId="2BCF2EC1" w14:textId="77777777" w:rsidR="008E226F" w:rsidRPr="00104995" w:rsidRDefault="008E226F" w:rsidP="001D399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01.01.2024 количество объектов в Перечне – 13.</w:t>
            </w:r>
          </w:p>
          <w:p w14:paraId="794FB81B" w14:textId="4641785B" w:rsidR="004F5161" w:rsidRPr="00104995" w:rsidRDefault="008E226F" w:rsidP="001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период 01.01.2024-31.12.2024 Перечень муниципального имущества дополнен 3 объектами, что соответствует необходимым показателям по увеличению количества объектов в Перечне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21B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выполнен в полном объеме.</w:t>
            </w:r>
          </w:p>
        </w:tc>
      </w:tr>
      <w:tr w:rsidR="00CA10EF" w:rsidRPr="00104995" w14:paraId="7A49E5B7" w14:textId="77777777" w:rsidTr="00F6167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EE5E" w14:textId="605C2EBF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164DE0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E33" w14:textId="77777777" w:rsidR="00CA10EF" w:rsidRPr="00104995" w:rsidRDefault="00CA10EF" w:rsidP="00CA10E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Задача:</w:t>
            </w:r>
          </w:p>
          <w:p w14:paraId="1C2B1142" w14:textId="77777777" w:rsidR="00CA10EF" w:rsidRPr="00104995" w:rsidRDefault="00CA10EF" w:rsidP="00CA10E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7. Снижение административных барьеров, повышение </w:t>
            </w: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lastRenderedPageBreak/>
              <w:t>качества муниципального регулирования в сфере малого и среднего предпринимательства</w:t>
            </w:r>
          </w:p>
          <w:p w14:paraId="3B41C594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5DF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в рейтинге муниципальных образований Вологодской области по качеству 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ОРВ и экспертизы МПА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A450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76A7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C8A3F21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D0564E8" w14:textId="2830BD13" w:rsidR="00AD1C25" w:rsidRPr="00104995" w:rsidRDefault="00AD1C25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E5A4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FBF1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ниже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687D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4FC18EC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E59F024" w14:textId="18A0341E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0EB2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59A9AAB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B5E79A3" w14:textId="29CCD78B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="00FA2BC1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38E" w14:textId="0FDD5170" w:rsidR="00CA10EF" w:rsidRPr="00104995" w:rsidRDefault="00CA10EF" w:rsidP="00CA10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Cs w:val="20"/>
              </w:rPr>
              <w:t xml:space="preserve">Расчет показателя не производится, значение определяется исходя из итоговой позиции города Череповца в </w:t>
            </w:r>
            <w:r w:rsidRPr="00104995">
              <w:rPr>
                <w:rFonts w:ascii="Times New Roman" w:hAnsi="Times New Roman" w:cs="Times New Roman"/>
                <w:szCs w:val="20"/>
              </w:rPr>
              <w:lastRenderedPageBreak/>
              <w:t>рейтинге муниципальных образований Вологодской области по качеству проведения ОРВ и экспертизы МПА  на основе информации Департамента стратегического планирования и совершенствования управленческих процессов Администрации Губернатора Вологодской области о результатах мониторинга проведения ОРВ и экспертизы на местном уровне (последние данные – на 01.09.2024)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2B6FC79F" w14:textId="59469DB0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/>
                <w:szCs w:val="20"/>
              </w:rPr>
              <w:lastRenderedPageBreak/>
              <w:t xml:space="preserve">Данные предоставлены на основе информации Департамента </w:t>
            </w:r>
            <w:r w:rsidRPr="00104995">
              <w:rPr>
                <w:rFonts w:ascii="Times New Roman" w:hAnsi="Times New Roman"/>
                <w:szCs w:val="20"/>
              </w:rPr>
              <w:lastRenderedPageBreak/>
              <w:t>стратегического планирования и совершенствования управленческих процессов Администрации Губернатора Вологодской области о результатах мониторинга проведения ОРВ и экспертизы на местном уровне на 01.09.2024</w:t>
            </w:r>
          </w:p>
        </w:tc>
      </w:tr>
      <w:tr w:rsidR="00CA10EF" w:rsidRPr="00104995" w14:paraId="2DEC87BF" w14:textId="77777777" w:rsidTr="00456BB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9E34" w14:textId="2AF0E48B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="00164DE0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37D" w14:textId="77777777" w:rsidR="00CA10EF" w:rsidRPr="00104995" w:rsidRDefault="00CA10EF" w:rsidP="00CA10E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Задача:</w:t>
            </w:r>
          </w:p>
          <w:p w14:paraId="63AC3353" w14:textId="77777777" w:rsidR="00CA10EF" w:rsidRPr="00104995" w:rsidRDefault="00CA10EF" w:rsidP="00CA10E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2. Содействие развитию действующих субъектов малого и среднего предпринимательства и появлению новых субъектов малого и среднего предпринимательства</w:t>
            </w:r>
          </w:p>
          <w:p w14:paraId="6039ED16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6173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баз данных, используемых для разработки анализов и прогнозов в сфере развития малого и среднего предпринимательства и инвестиционного потенциала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474C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C99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9B84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D9F1" w14:textId="4C5D197B" w:rsidR="00CA10EF" w:rsidRPr="00104995" w:rsidRDefault="009F0E2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4DD" w14:textId="457E39DA" w:rsidR="00CA10EF" w:rsidRPr="00104995" w:rsidRDefault="009F0E2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="00934545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529C" w14:textId="77777777" w:rsidR="00CA10EF" w:rsidRPr="00104995" w:rsidRDefault="00CA10EF" w:rsidP="00CA10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используемых баз данных в течение отчетного года из числа созданных</w:t>
            </w:r>
          </w:p>
          <w:p w14:paraId="5BC1052F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АГР, не ранее 2021 года, подтвержденных скриншотами, содержащими информацию о наполнении базы, и минимум одним аналитическим или прогнозным материалом, подготовленным с использованием </w:t>
            </w: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 из данной базы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C61A" w14:textId="64ECC5BA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выполнен </w:t>
            </w:r>
          </w:p>
        </w:tc>
      </w:tr>
      <w:tr w:rsidR="00CA10EF" w:rsidRPr="00104995" w14:paraId="0A91E27D" w14:textId="77777777" w:rsidTr="00456BB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BFB" w14:textId="1FE922B4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164DE0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4F9" w14:textId="77777777" w:rsidR="00CA10EF" w:rsidRPr="00104995" w:rsidRDefault="00CA10EF" w:rsidP="00CA10E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Задачи:</w:t>
            </w:r>
          </w:p>
          <w:p w14:paraId="6DFFB070" w14:textId="77777777" w:rsidR="00CA10EF" w:rsidRPr="00104995" w:rsidRDefault="00CA10EF" w:rsidP="00CA10E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8. Развитие внутреннего и въездного туризма</w:t>
            </w:r>
          </w:p>
          <w:p w14:paraId="0520AA6F" w14:textId="77777777" w:rsidR="00CA10EF" w:rsidRPr="00104995" w:rsidRDefault="00CA10EF" w:rsidP="00CA10EF">
            <w:pPr>
              <w:shd w:val="clear" w:color="auto" w:fill="FFFFFF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- 6. Формирование положительного инвестиционного и туристического имиджа города</w:t>
            </w:r>
          </w:p>
          <w:p w14:paraId="51370D9C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F6BC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посетивших город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54B3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3F06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107,123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CDE1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FE97" w14:textId="706C6EA0" w:rsidR="00CA10EF" w:rsidRPr="00104995" w:rsidRDefault="009F0E2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115,421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621" w14:textId="3F7D2E21" w:rsidR="00CA10EF" w:rsidRPr="00104995" w:rsidRDefault="009F0E2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092" w14:textId="77777777" w:rsidR="00CA10EF" w:rsidRPr="00104995" w:rsidRDefault="00CA10E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95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туристов определяется как сумма данных, предоставленных в результате мониторинга объектами размещения, туроператорами, туристско-информационным центром Агентства Городского Развития о численности проживающих в объектах размещения, туристов, посещающих город на теплоходах и в составе других организованных групп, а также путешествующих индивидуально и пользующихся услугами туристических организаций и туристско-информационного центра Агентства Городского Развития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F00D" w14:textId="3F3EB5D5" w:rsidR="00CA10EF" w:rsidRPr="00104995" w:rsidRDefault="009F0E2F" w:rsidP="00CA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95">
              <w:rPr>
                <w:rFonts w:ascii="Times New Roman" w:eastAsia="Times New Roman" w:hAnsi="Times New Roman"/>
                <w:lang w:eastAsia="ru-RU"/>
              </w:rPr>
              <w:t>Перевыполнение показателя связано с увеличением количества туристов</w:t>
            </w:r>
          </w:p>
        </w:tc>
      </w:tr>
    </w:tbl>
    <w:p w14:paraId="19AA9EFE" w14:textId="77777777" w:rsidR="004F5161" w:rsidRPr="00104995" w:rsidRDefault="004F5161" w:rsidP="004F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9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1A237FC" w14:textId="77777777" w:rsidR="004F5161" w:rsidRPr="00104995" w:rsidRDefault="004F5161" w:rsidP="004F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5161" w:rsidRPr="00104995" w:rsidSect="004F5161">
          <w:pgSz w:w="16838" w:h="11906" w:orient="landscape"/>
          <w:pgMar w:top="709" w:right="536" w:bottom="284" w:left="1134" w:header="709" w:footer="709" w:gutter="0"/>
          <w:pgNumType w:start="1"/>
          <w:cols w:space="720"/>
        </w:sectPr>
      </w:pPr>
    </w:p>
    <w:p w14:paraId="557CABD9" w14:textId="77777777" w:rsidR="004F5161" w:rsidRPr="00104995" w:rsidRDefault="004F5161" w:rsidP="004F5161">
      <w:pPr>
        <w:widowControl w:val="0"/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 w:rsidRPr="0010499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2AD992E1" w14:textId="77777777" w:rsidR="004F5161" w:rsidRPr="00104995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" w:name="_Hlk108682257"/>
      <w:r w:rsidRPr="00104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</w:t>
      </w:r>
    </w:p>
    <w:p w14:paraId="77E47C8E" w14:textId="77777777" w:rsidR="004F5161" w:rsidRPr="00104995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trike/>
          <w:sz w:val="26"/>
          <w:szCs w:val="26"/>
          <w:lang w:eastAsia="ru-RU"/>
        </w:rPr>
      </w:pPr>
      <w:r w:rsidRPr="00104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степени выполнения основных мероприятий муниципальной программы</w:t>
      </w:r>
    </w:p>
    <w:bookmarkEnd w:id="6"/>
    <w:p w14:paraId="138B43FB" w14:textId="77777777" w:rsidR="004F5161" w:rsidRPr="00104995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4"/>
        <w:tblW w:w="15183" w:type="dxa"/>
        <w:tblInd w:w="0" w:type="dxa"/>
        <w:tblLook w:val="04A0" w:firstRow="1" w:lastRow="0" w:firstColumn="1" w:lastColumn="0" w:noHBand="0" w:noVBand="1"/>
      </w:tblPr>
      <w:tblGrid>
        <w:gridCol w:w="1071"/>
        <w:gridCol w:w="2610"/>
        <w:gridCol w:w="2109"/>
        <w:gridCol w:w="3277"/>
        <w:gridCol w:w="3544"/>
        <w:gridCol w:w="2572"/>
      </w:tblGrid>
      <w:tr w:rsidR="004F5161" w:rsidRPr="00104995" w14:paraId="384BE903" w14:textId="77777777" w:rsidTr="004F5161">
        <w:trPr>
          <w:tblHeader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B957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14:paraId="1CC2318C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93C3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79C0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F675" w14:textId="23C0B68E" w:rsidR="004F5161" w:rsidRPr="00104995" w:rsidRDefault="004F5161" w:rsidP="00AE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Результат от реализации мероприятия за </w:t>
            </w:r>
            <w:r w:rsidRPr="00104995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104995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BC12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4F5161" w:rsidRPr="00104995" w14:paraId="25E5DB97" w14:textId="77777777" w:rsidTr="004F516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F633" w14:textId="77777777" w:rsidR="004F5161" w:rsidRPr="00104995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1C2" w14:textId="77777777" w:rsidR="004F5161" w:rsidRPr="00104995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CA82" w14:textId="77777777" w:rsidR="004F5161" w:rsidRPr="00104995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C0F5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запланированный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47DA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достигнутый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4FAA" w14:textId="77777777" w:rsidR="004F5161" w:rsidRPr="00104995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5161" w:rsidRPr="00104995" w14:paraId="555FE03F" w14:textId="77777777" w:rsidTr="004F5161">
        <w:trPr>
          <w:tblHeader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F77C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2C4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1046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3AAD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D264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3479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F5161" w:rsidRPr="00104995" w14:paraId="36598423" w14:textId="77777777" w:rsidTr="004F516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A601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5B64" w14:textId="77777777" w:rsidR="004F5161" w:rsidRPr="00104995" w:rsidRDefault="004F516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14:paraId="00D1DBCE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Формирование инфраструктуры поддержки МСП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2476" w14:textId="77777777" w:rsidR="004F5161" w:rsidRPr="00104995" w:rsidRDefault="004F516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АГР,</w:t>
            </w:r>
          </w:p>
          <w:p w14:paraId="6A85864D" w14:textId="77777777" w:rsidR="004F5161" w:rsidRPr="00104995" w:rsidRDefault="004F516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мэрия города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2F99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Качественная и своевременная реализация комплекса мер и услуг, направленных на поддержку и развитие субъектов МСП.</w:t>
            </w:r>
          </w:p>
          <w:p w14:paraId="46F4C6DD" w14:textId="77777777" w:rsidR="004F5161" w:rsidRPr="00104995" w:rsidRDefault="004F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Количество новых субъектов МСП, 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гражданами, получившими поддержку, к 2026 году составит не менее 135.</w:t>
            </w:r>
          </w:p>
          <w:p w14:paraId="377DF4A9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устойчивого функционирования организации инфраструктуры поддержки субъектов МСП в городе.</w:t>
            </w:r>
          </w:p>
          <w:p w14:paraId="761FD234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доступа субъектов малого предпринимательства к услугам, сервисам, мерам поддержки, необходимым для начала и ведения предпринимательской деятельности.</w:t>
            </w:r>
          </w:p>
          <w:p w14:paraId="3DD01ACA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 объема инвестиций.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81A2" w14:textId="303DCAB3" w:rsidR="004F5161" w:rsidRPr="00104995" w:rsidRDefault="004F5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Реализован комплекс мер и услуг, направленных на поддержку и развитие субъектов МСП. 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субъектов МСП и самозанятых, зарегистрированных гражданами, получившими поддержку на </w:t>
            </w:r>
            <w:r w:rsidR="00E60F0B" w:rsidRPr="0010499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 2024 года   составило 2</w:t>
            </w:r>
            <w:r w:rsidR="00E60F0B" w:rsidRPr="00104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  <w:p w14:paraId="6F9A2447" w14:textId="77777777" w:rsidR="004F5161" w:rsidRPr="00104995" w:rsidRDefault="004F5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Обеспечено устойчивое функционирование организации инфраструктуры поддержки субъектов МСП в городе.</w:t>
            </w:r>
          </w:p>
          <w:p w14:paraId="076E9E86" w14:textId="43BF3E59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Обеспечен доступ субъектов малого предпринимательства к услугам, сервисам, мерам поддержки, необходимым для начала и ведения предпринимательской д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еятельности. Объем инвестиций</w:t>
            </w:r>
            <w:r w:rsidR="00E60F0B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66437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60F0B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обозначенный в инвестиционных проектах, принятых к</w:t>
            </w:r>
            <w:r w:rsidR="00D66437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60F0B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реализации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составил </w:t>
            </w:r>
            <w:r w:rsidR="00D66437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D66437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977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66437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665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2F5B" w14:textId="611DC76F" w:rsidR="004F5161" w:rsidRPr="00104995" w:rsidRDefault="004F5161" w:rsidP="006F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выполнено </w:t>
            </w:r>
          </w:p>
        </w:tc>
      </w:tr>
      <w:tr w:rsidR="004F5161" w:rsidRPr="00104995" w14:paraId="6D8C75B0" w14:textId="77777777" w:rsidTr="004F516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088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5A0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для субъектов МСП, физических лиц, применяющих специальный налоговый режим «Налог на профессиональный доход», инвесторов, граждан, желающих создать свой бизнес, туристов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8B42" w14:textId="77777777" w:rsidR="004F5161" w:rsidRPr="00104995" w:rsidRDefault="004F516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АГР,</w:t>
            </w:r>
          </w:p>
          <w:p w14:paraId="77743E89" w14:textId="77777777" w:rsidR="004F5161" w:rsidRPr="00104995" w:rsidRDefault="004F516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мэрия города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0CA0" w14:textId="77777777" w:rsidR="004F5161" w:rsidRPr="00104995" w:rsidRDefault="004F51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доступными услугами субъектов МСП и физических лиц, желающих создать свой бизнес, путем оказания консультаций и услуг по вопросам создания и ведения бизнеса.</w:t>
            </w:r>
          </w:p>
          <w:p w14:paraId="4E411D88" w14:textId="77777777" w:rsidR="004F5161" w:rsidRPr="00104995" w:rsidRDefault="004F51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объема инвестиций.</w:t>
            </w:r>
          </w:p>
          <w:p w14:paraId="3316C838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Увеличение турпотока.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CFB5" w14:textId="2AE0A4E6" w:rsidR="004F5161" w:rsidRPr="00104995" w:rsidRDefault="004F5161">
            <w:pPr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доступными услугами субъектов МСП и физических лиц, желающих создать свой бизнес, путем оказания консультаций и услуг по вопросам создания и ведения бизнеса.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       Объем инвестиций составил </w:t>
            </w:r>
            <w:r w:rsidR="00D66437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23 977,665 млн. руб.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количество туристов составило </w:t>
            </w:r>
            <w:r w:rsidR="00026358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115,421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 ед.</w:t>
            </w:r>
          </w:p>
          <w:p w14:paraId="3C2C118B" w14:textId="1F030299" w:rsidR="004F5161" w:rsidRPr="00104995" w:rsidRDefault="004F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Проведены консультации по вопросам создания и ведения предпринимательской деятельности, формам и программам поддержки МСП. Оказаны услуги финансового консалтинга, бухгалтерского и кадрового аутсорсинга, маркетинговых услуги др. Проведены первичные экспертизы инвестиционных проектов, оказано содействие в реализации инвестиционных проектов, инициируемых городом, сопровождение инвестиционных проектов. Всего оказано за</w:t>
            </w:r>
            <w:r w:rsidR="00026358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2024 год оказано 3 455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услуг и 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консультаций, в т.ч. </w:t>
            </w:r>
            <w:r w:rsidR="00026358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765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туристов.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E395" w14:textId="77FA8719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Мероприятие выполнено </w:t>
            </w:r>
          </w:p>
        </w:tc>
      </w:tr>
      <w:tr w:rsidR="004F5161" w:rsidRPr="00104995" w14:paraId="360A85B0" w14:textId="77777777" w:rsidTr="004F516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15F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3633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создание и развитие МСП и самозанятости, повышение инвестиционной и туристической привлекательности города, информационную поддержку и пропаганду предпринимательской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1074" w14:textId="77777777" w:rsidR="004F5161" w:rsidRPr="00104995" w:rsidRDefault="004F516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АГР,</w:t>
            </w:r>
          </w:p>
          <w:p w14:paraId="6FB60861" w14:textId="77777777" w:rsidR="004F5161" w:rsidRPr="00104995" w:rsidRDefault="004F516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мэрия города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7410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уровня предпринимательских компетенций и информированности бизнеса, выстраивание конструктивного диалога между бизнесом и властью, расширение рынков сбыта МСП, развитие благоприятной деловой среды, информирование об инвестиционных возможностях муниципального образования, развитие рынка внутреннего и въездного туризма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959" w14:textId="405B7021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Организованы мероприятия: деловые, образовательные, информационно-консультационные, по содействию в расширении рынков сбыта, по взаимодействию бизнеса и власти, мониторинги, информационные рассылки, подготовка и размещение пресс-релизов, поддержка работы сайтов, мероприятий, направленных на выявление и поощрение лучших субъектов МСП, инвесторов, выезды на предприятия, содействие в организации ярмарок и др. Всего за  2024 год проведено </w:t>
            </w:r>
            <w:r w:rsidR="00A00708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549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583" w14:textId="5F8E7A66" w:rsidR="004F5161" w:rsidRPr="00104995" w:rsidRDefault="004F5161" w:rsidP="006F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Мероприятие выполнено </w:t>
            </w:r>
          </w:p>
        </w:tc>
      </w:tr>
      <w:tr w:rsidR="004F5161" w:rsidRPr="00104995" w14:paraId="7BA0D959" w14:textId="77777777" w:rsidTr="004F516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7546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CB15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созданию и ведению базы данных для разработки анализов и прогнозов сфере развития малого и среднего 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инвестиционного потенциала, мониторинг цен, инвентаризация объектов потребительского рынка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B77F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АГР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7F4B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информации для разработки анализов и прогнозов в сфере МСП, инвестиционного потенциала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3944" w14:textId="3C59751B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используется для разработки аналитических отчетов. Проводится регулярный мониторинг цен.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Обновляется база данных по субъектам МСП, подготовлен «Обзор малого и среднего предпринимательства в 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Череповце за 2023 год»,</w:t>
            </w:r>
            <w:r w:rsidR="00A00708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мониторинг МСП за 1-е полугодие 2024 года,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 регулярной основе готовятся отраслевые анализы.</w:t>
            </w:r>
            <w:r w:rsidRPr="00104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9116" w14:textId="0EF2F132" w:rsidR="004F5161" w:rsidRPr="00104995" w:rsidRDefault="004F5161" w:rsidP="006F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Мероприятие выполнено </w:t>
            </w:r>
          </w:p>
        </w:tc>
      </w:tr>
      <w:tr w:rsidR="004F5161" w:rsidRPr="00104995" w14:paraId="0DC352DC" w14:textId="77777777" w:rsidTr="004F516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1BCC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3AE" w14:textId="77777777" w:rsidR="004F5161" w:rsidRPr="00104995" w:rsidRDefault="004F51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нежилых помещений, предоставленных органами местного самоуправления организациям инфраструктуры поддержки МСП (в соответствии с приложением 2 к муниципальной программе)</w:t>
            </w:r>
          </w:p>
          <w:p w14:paraId="4588E346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BC96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АНО АГР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9D42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Осуществление деятельности организаций, входящих в инфраструктуру поддержки МСП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D3DB" w14:textId="77777777" w:rsidR="004F5161" w:rsidRPr="00104995" w:rsidRDefault="004F5161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Помещения предоставлены, осуществляется деятельность (в соответствии с приложением 2 к муниципальной программе):</w:t>
            </w:r>
          </w:p>
          <w:p w14:paraId="716B3B2B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АНО АГР - б. Доменщиков, 32 – 422,1 </w:t>
            </w:r>
            <w:proofErr w:type="spellStart"/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CD1" w14:textId="035C81F9" w:rsidR="004F5161" w:rsidRPr="00104995" w:rsidRDefault="004F5161" w:rsidP="006F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Мероприятие выполнено </w:t>
            </w:r>
          </w:p>
        </w:tc>
      </w:tr>
      <w:tr w:rsidR="004F5161" w14:paraId="693044D8" w14:textId="77777777" w:rsidTr="004F516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68BD" w14:textId="77777777" w:rsidR="004F5161" w:rsidRPr="00104995" w:rsidRDefault="004F516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194" w14:textId="77777777" w:rsidR="004F5161" w:rsidRPr="00104995" w:rsidRDefault="004F51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2. Вовлечение бизнес-сообщества в процесс правового регулирования через проведение оценки регулирующего воздействия проектов </w:t>
            </w:r>
            <w:r w:rsidRPr="00104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нормативных правовых актов города Череповца и экспертизу действующих НПА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206F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КПУ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4452" w14:textId="77777777" w:rsidR="004F5161" w:rsidRPr="00104995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бизнеса, повышение эффективности принятия нормативно-правовых актов и улучшение тем самым инвестиционной и туристической привлекательности города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039C" w14:textId="70BF9CE0" w:rsidR="004F5161" w:rsidRPr="00104995" w:rsidRDefault="0026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51 заключение об ОРВ и 3 заключения по итогам проведения экспертизы. В рамках проведения ОРВ (с 02.10.2024) и экспертизы направлялись запросы в адрес организаций и лиц, целью деятельности которых является </w:t>
            </w:r>
            <w:r w:rsidRPr="0010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и представление интересов субъектов предпринимательской и инвестиционной деятельности, размещалась информация в официальной группе мэрии города в социальной сети ВКонтакте. Обращений от бизнеса об избыточном и/или негативном влиянии принятых НПА на ведение предпринимательской деятельности не поступало.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165" w14:textId="60D53921" w:rsidR="004F5161" w:rsidRDefault="004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="00737AF7"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выполнено</w:t>
            </w:r>
            <w:r w:rsidRPr="001049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Проблемы – недостаточная активность бизнес-сообщества в ходе проведения публичных консультаций</w:t>
            </w:r>
          </w:p>
        </w:tc>
      </w:tr>
      <w:tr w:rsidR="00DC3E5A" w14:paraId="1CFD4C4B" w14:textId="77777777" w:rsidTr="007F692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F48C" w14:textId="77777777" w:rsidR="00DC3E5A" w:rsidRDefault="00DC3E5A" w:rsidP="00DC3E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9626" w14:textId="77777777" w:rsidR="00DC3E5A" w:rsidRDefault="00DC3E5A" w:rsidP="00DC3E5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3</w:t>
            </w:r>
          </w:p>
          <w:p w14:paraId="4E2BE9E0" w14:textId="77777777" w:rsidR="00DC3E5A" w:rsidRDefault="00DC3E5A" w:rsidP="00DC3E5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Имущественная поддержка субъектов МСП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0774" w14:textId="77777777" w:rsidR="00DC3E5A" w:rsidRDefault="00DC3E5A" w:rsidP="00D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28ECA" w14:textId="48866A7D" w:rsidR="00DC3E5A" w:rsidRDefault="004E32DB" w:rsidP="00D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6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C3E5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объектов имущества, земельных участков в Перечне муниципального имущества, предназначенного для предоставления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МСП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E2FB2" w14:textId="77777777" w:rsidR="00DC3E5A" w:rsidRDefault="00DC3E5A" w:rsidP="00D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2024 год количество объектов в Перечне муниципального имущества возросло с 13 до 16 объектов.</w:t>
            </w:r>
          </w:p>
          <w:p w14:paraId="64889C33" w14:textId="77777777" w:rsidR="00DC3E5A" w:rsidRDefault="00DC3E5A" w:rsidP="00D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переданных в пользование объектов возросло с 7 до 9.</w:t>
            </w:r>
          </w:p>
          <w:p w14:paraId="7D2C7DD9" w14:textId="63C1EDC6" w:rsidR="00DC3E5A" w:rsidRDefault="00DC3E5A" w:rsidP="00D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E4DCF4" w14:textId="24C45223" w:rsidR="00DC3E5A" w:rsidRDefault="00DC3E5A" w:rsidP="006F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Мероприятие </w:t>
            </w:r>
            <w:r w:rsidR="00737AF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выполнено</w:t>
            </w:r>
          </w:p>
        </w:tc>
      </w:tr>
      <w:tr w:rsidR="007F6926" w14:paraId="28A1C314" w14:textId="77777777" w:rsidTr="009A537D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906" w14:textId="60C59A00" w:rsidR="007F6926" w:rsidRPr="009A537D" w:rsidRDefault="007F6926" w:rsidP="00DC3E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6E4" w14:textId="0CEA9BA0" w:rsidR="007F6926" w:rsidRPr="009A537D" w:rsidRDefault="007F6926" w:rsidP="00DC3E5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4</w:t>
            </w:r>
            <w:r w:rsidR="00113D57" w:rsidRPr="009A5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Возмещение части затрат на приобретение мобильных пунктов быстрого питания города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F41" w14:textId="139C2876" w:rsidR="007F6926" w:rsidRPr="009A537D" w:rsidRDefault="007F6926" w:rsidP="00D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37D">
              <w:rPr>
                <w:rFonts w:ascii="Times New Roman" w:hAnsi="Times New Roman" w:cs="Times New Roman"/>
                <w:sz w:val="24"/>
                <w:szCs w:val="24"/>
              </w:rPr>
              <w:t>Мэрия города (управление делами мэрии), АНО АГР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2611" w14:textId="5340A6E1" w:rsidR="007F6926" w:rsidRPr="009A537D" w:rsidRDefault="00752316" w:rsidP="00D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A5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мобильных пунктов быстрого питания города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31EA" w14:textId="5F0C56B6" w:rsidR="007F6926" w:rsidRPr="009A537D" w:rsidRDefault="00752316" w:rsidP="00D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Субъектами МСП приобретены 2 мобильных пункта быстрого питания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2BF" w14:textId="54534A3D" w:rsidR="007F6926" w:rsidRDefault="00C8038E" w:rsidP="006F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выполнено</w:t>
            </w:r>
          </w:p>
        </w:tc>
      </w:tr>
    </w:tbl>
    <w:p w14:paraId="3C648FF2" w14:textId="77777777" w:rsidR="004F5161" w:rsidRDefault="004F5161" w:rsidP="004F516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054269" w14:textId="77777777" w:rsidR="00053A4A" w:rsidRDefault="004F5161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br w:type="textWrapping" w:clear="all"/>
      </w:r>
    </w:p>
    <w:p w14:paraId="3BCA938B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398F799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D91C3A4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C0C77FD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7AF833F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3FFFC19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9D65A2B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D663087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EE073F5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554264D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83EE83D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7E6059E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908305A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9CB2733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13FB051" w14:textId="5C972E18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ED0415C" w14:textId="77777777" w:rsidR="004B3455" w:rsidRDefault="004B3455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24684F7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2C3BA8F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C144F7E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35F74FD" w14:textId="77777777" w:rsidR="00053A4A" w:rsidRDefault="00053A4A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860FBEF" w14:textId="223A5870" w:rsidR="004F5161" w:rsidRPr="00F6167E" w:rsidRDefault="004F5161" w:rsidP="00053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6167E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3</w:t>
      </w:r>
    </w:p>
    <w:p w14:paraId="4BADCD99" w14:textId="77777777" w:rsidR="004F5161" w:rsidRPr="00F6167E" w:rsidRDefault="004F5161" w:rsidP="004F516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6167E">
        <w:rPr>
          <w:rFonts w:ascii="Times New Roman" w:eastAsia="Times New Roman" w:hAnsi="Times New Roman" w:cs="Times New Roman"/>
          <w:bCs/>
          <w:lang w:eastAsia="ru-RU"/>
        </w:rPr>
        <w:t>Отчет об использовании бюджетных ассигнований городского бюджета на реализацию муниципальной программы</w:t>
      </w:r>
    </w:p>
    <w:tbl>
      <w:tblPr>
        <w:tblW w:w="14938" w:type="dxa"/>
        <w:tblLook w:val="04A0" w:firstRow="1" w:lastRow="0" w:firstColumn="1" w:lastColumn="0" w:noHBand="0" w:noVBand="1"/>
      </w:tblPr>
      <w:tblGrid>
        <w:gridCol w:w="541"/>
        <w:gridCol w:w="6967"/>
        <w:gridCol w:w="3260"/>
        <w:gridCol w:w="1369"/>
        <w:gridCol w:w="1372"/>
        <w:gridCol w:w="1429"/>
      </w:tblGrid>
      <w:tr w:rsidR="007044FF" w:rsidRPr="00F6167E" w14:paraId="2C661B66" w14:textId="77777777" w:rsidTr="00F6167E">
        <w:trPr>
          <w:trHeight w:val="99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5540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5CF3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DB46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F628" w14:textId="5837865B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Расходы за 2024 (тыс. рублей)</w:t>
            </w:r>
          </w:p>
        </w:tc>
      </w:tr>
      <w:tr w:rsidR="00B272E1" w:rsidRPr="00F6167E" w14:paraId="6DE18C10" w14:textId="77777777" w:rsidTr="00F6167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DABD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77D4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BA76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80E6C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2E1" w:rsidRPr="00F6167E" w14:paraId="20F109A4" w14:textId="77777777" w:rsidTr="00F6167E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4624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A7E29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D5BF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027" w14:textId="0CEB468A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 xml:space="preserve">Сводная бюджетная роспись, план на 1 января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61C0" w14:textId="49C026C3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по состоянию на 31 декабря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C476" w14:textId="1AB7B0FF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исполнение </w:t>
            </w:r>
            <w:r w:rsidRPr="008624D6">
              <w:rPr>
                <w:rFonts w:ascii="Times New Roman" w:eastAsia="Times New Roman" w:hAnsi="Times New Roman" w:cs="Times New Roman"/>
                <w:strike/>
                <w:lang w:eastAsia="ru-RU"/>
              </w:rPr>
              <w:t>по состоянию</w:t>
            </w: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 xml:space="preserve"> за 2024 год</w:t>
            </w:r>
          </w:p>
        </w:tc>
      </w:tr>
      <w:tr w:rsidR="007044FF" w:rsidRPr="00F6167E" w14:paraId="0C7205BE" w14:textId="77777777" w:rsidTr="00F6167E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A142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4229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8ED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9141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5D8D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DC7C" w14:textId="77777777" w:rsidR="00B272E1" w:rsidRPr="00F6167E" w:rsidRDefault="00B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044FF" w:rsidRPr="00F6167E" w14:paraId="0F90EFD4" w14:textId="77777777" w:rsidTr="00F6167E">
        <w:trPr>
          <w:trHeight w:val="55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FBC7" w14:textId="77777777" w:rsidR="00B272E1" w:rsidRPr="00F6167E" w:rsidRDefault="00B27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CC25" w14:textId="77777777" w:rsidR="00B272E1" w:rsidRPr="00F6167E" w:rsidRDefault="00B272E1" w:rsidP="00704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br/>
              <w:t>«Поддержка и развитие малого и среднего предпринимательства, повышение инвестиционной и туристической привлекательности города Череповца на 2022 - 2026 годы»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2E3" w14:textId="77777777" w:rsidR="00B272E1" w:rsidRPr="00F6167E" w:rsidRDefault="00B2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FA71" w14:textId="238AFF70" w:rsidR="00B272E1" w:rsidRPr="004B3455" w:rsidRDefault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55">
              <w:rPr>
                <w:rFonts w:ascii="Times New Roman" w:eastAsia="Times New Roman" w:hAnsi="Times New Roman" w:cs="Times New Roman"/>
                <w:lang w:eastAsia="ru-RU"/>
              </w:rPr>
              <w:t>26 826,9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6AB6" w14:textId="60519BD7" w:rsidR="00B272E1" w:rsidRPr="004B3455" w:rsidRDefault="000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55">
              <w:rPr>
                <w:rFonts w:ascii="Times New Roman" w:eastAsia="Times New Roman" w:hAnsi="Times New Roman" w:cs="Times New Roman"/>
                <w:lang w:eastAsia="ru-RU"/>
              </w:rPr>
              <w:t>35 487,0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A1A7" w14:textId="1121992F" w:rsidR="00B272E1" w:rsidRPr="00F6167E" w:rsidRDefault="0000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35 487,0</w:t>
            </w:r>
          </w:p>
        </w:tc>
      </w:tr>
      <w:tr w:rsidR="00A55C11" w:rsidRPr="00F6167E" w14:paraId="435905D5" w14:textId="77777777" w:rsidTr="00F6167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500B" w14:textId="77777777" w:rsidR="00A55C11" w:rsidRPr="00F6167E" w:rsidRDefault="00A55C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9815" w14:textId="77777777" w:rsidR="00A55C11" w:rsidRPr="00F6167E" w:rsidRDefault="00A55C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0830" w14:textId="75F9E331" w:rsidR="00A55C11" w:rsidRPr="00F6167E" w:rsidRDefault="00A5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Мэрия города, АНО АГР (участник)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F9DF" w14:textId="67F1E1F5" w:rsidR="00A55C11" w:rsidRPr="008624D6" w:rsidRDefault="004B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B116" w14:textId="7C39CFC2" w:rsidR="00A55C11" w:rsidRPr="00F6167E" w:rsidRDefault="00A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60FF" w14:textId="50E4489A" w:rsidR="00A55C11" w:rsidRPr="00F6167E" w:rsidRDefault="00A5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</w:tr>
      <w:tr w:rsidR="007044FF" w:rsidRPr="00F6167E" w14:paraId="1F3FAEE6" w14:textId="77777777" w:rsidTr="00F6167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C51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9106" w14:textId="77777777" w:rsidR="00B272E1" w:rsidRPr="00F6167E" w:rsidRDefault="00B272E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659A" w14:textId="77777777" w:rsidR="00B272E1" w:rsidRPr="00F6167E" w:rsidRDefault="00B2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мэрии (ответственный исполнитель), АНО АГР (участник)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974A" w14:textId="5BB2AC8E" w:rsidR="00B272E1" w:rsidRPr="004B3455" w:rsidRDefault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55">
              <w:rPr>
                <w:rFonts w:ascii="Times New Roman" w:eastAsia="Times New Roman" w:hAnsi="Times New Roman" w:cs="Times New Roman"/>
                <w:lang w:eastAsia="ru-RU"/>
              </w:rPr>
              <w:t>26 829,9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E39F" w14:textId="184770EF" w:rsidR="00B272E1" w:rsidRPr="00F6167E" w:rsidRDefault="0029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35 267,0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40A0" w14:textId="07C43DAB" w:rsidR="00B272E1" w:rsidRPr="00F6167E" w:rsidRDefault="0029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35 267,0</w:t>
            </w:r>
          </w:p>
        </w:tc>
      </w:tr>
      <w:tr w:rsidR="007044FF" w:rsidRPr="00F6167E" w14:paraId="4AE8844C" w14:textId="77777777" w:rsidTr="00F6167E">
        <w:trPr>
          <w:trHeight w:val="9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6E71" w14:textId="77777777" w:rsidR="007044FF" w:rsidRPr="00F6167E" w:rsidRDefault="0070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A6CF" w14:textId="77777777" w:rsidR="007044FF" w:rsidRPr="00F6167E" w:rsidRDefault="0070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 «Формирование инфраструктуры поддержки субъектов МСП»</w:t>
            </w:r>
          </w:p>
          <w:p w14:paraId="5C0ACA6D" w14:textId="352C8D43" w:rsidR="007044FF" w:rsidRPr="00F6167E" w:rsidRDefault="0070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04AE96" w14:textId="66A66524" w:rsidR="007044FF" w:rsidRPr="00F6167E" w:rsidRDefault="007044FF" w:rsidP="00704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мэрии (ответственный исполнитель), АНО АГР (участник)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750D" w14:textId="4C21B14F" w:rsidR="007044FF" w:rsidRPr="004B3455" w:rsidRDefault="008624D6" w:rsidP="0070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55">
              <w:rPr>
                <w:rFonts w:ascii="Times New Roman" w:eastAsia="Times New Roman" w:hAnsi="Times New Roman" w:cs="Times New Roman"/>
                <w:lang w:eastAsia="ru-RU"/>
              </w:rPr>
              <w:t>26 829,9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95548" w14:textId="062038E8" w:rsidR="007044FF" w:rsidRPr="00F6167E" w:rsidRDefault="007044FF" w:rsidP="0070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35 267,0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71AA" w14:textId="1A6DB013" w:rsidR="007044FF" w:rsidRPr="00F6167E" w:rsidRDefault="007044FF" w:rsidP="0070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35 267,0</w:t>
            </w:r>
          </w:p>
        </w:tc>
      </w:tr>
      <w:tr w:rsidR="007044FF" w:rsidRPr="00F6167E" w14:paraId="2A8C4B40" w14:textId="77777777" w:rsidTr="00F6167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E53" w14:textId="7A01CADF" w:rsidR="007044FF" w:rsidRPr="00F6167E" w:rsidRDefault="007044FF" w:rsidP="007044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5846" w14:textId="214E6470" w:rsidR="007044FF" w:rsidRPr="00F6167E" w:rsidRDefault="007044FF" w:rsidP="007044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 «Возмещение части затрат на приобретение мобильных пунктов быстрого питания города»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C1B1E" w14:textId="57B7436B" w:rsidR="007044FF" w:rsidRPr="00F6167E" w:rsidRDefault="007044FF" w:rsidP="00704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Мэрия города (управление делами мэрии), АНО АГР (участник)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35C0" w14:textId="6BED6B94" w:rsidR="007044FF" w:rsidRPr="008624D6" w:rsidRDefault="004B3455" w:rsidP="0070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EE26" w14:textId="61196FD4" w:rsidR="007044FF" w:rsidRPr="00F6167E" w:rsidRDefault="007044FF" w:rsidP="0070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1B20" w14:textId="27E40A95" w:rsidR="007044FF" w:rsidRPr="00F6167E" w:rsidRDefault="007044FF" w:rsidP="0070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</w:tr>
    </w:tbl>
    <w:p w14:paraId="7A3E49F2" w14:textId="77777777" w:rsidR="00121C14" w:rsidRDefault="00121C14" w:rsidP="004F51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75D325B" w14:textId="77777777" w:rsidR="00121C14" w:rsidRDefault="00121C14" w:rsidP="004F51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7666760F" w14:textId="77777777" w:rsidR="00121C14" w:rsidRDefault="00121C14" w:rsidP="004F51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8BA0011" w14:textId="77777777" w:rsidR="00121C14" w:rsidRDefault="00121C14" w:rsidP="004F51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5CD8DE0" w14:textId="77777777" w:rsidR="00121C14" w:rsidRDefault="00121C14" w:rsidP="004F51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F457B31" w14:textId="77777777" w:rsidR="00121C14" w:rsidRDefault="00121C14" w:rsidP="004F51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7C7763C4" w14:textId="77777777" w:rsidR="00121C14" w:rsidRDefault="00121C14" w:rsidP="004F51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3156D1D" w14:textId="7793CEF4" w:rsidR="004F5161" w:rsidRPr="00F6167E" w:rsidRDefault="004F5161" w:rsidP="004F51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6167E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4</w:t>
      </w:r>
    </w:p>
    <w:p w14:paraId="6807A2C3" w14:textId="77777777" w:rsidR="004F5161" w:rsidRPr="00F6167E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6167E">
        <w:rPr>
          <w:rFonts w:ascii="Times New Roman" w:eastAsia="Times New Roman" w:hAnsi="Times New Roman" w:cs="Times New Roman"/>
          <w:bCs/>
          <w:lang w:eastAsia="ru-RU"/>
        </w:rPr>
        <w:t xml:space="preserve">Информация о расходах городского, федерального, областного бюджетов, внебюджетных источников на реализацию целей </w:t>
      </w:r>
    </w:p>
    <w:p w14:paraId="07FBF9A6" w14:textId="77777777" w:rsidR="004F5161" w:rsidRPr="00F6167E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6167E">
        <w:rPr>
          <w:rFonts w:ascii="Times New Roman" w:eastAsia="Times New Roman" w:hAnsi="Times New Roman" w:cs="Times New Roman"/>
          <w:bCs/>
          <w:lang w:eastAsia="ru-RU"/>
        </w:rPr>
        <w:t>муниципальной программы</w:t>
      </w:r>
    </w:p>
    <w:tbl>
      <w:tblPr>
        <w:tblW w:w="14588" w:type="dxa"/>
        <w:tblLook w:val="04A0" w:firstRow="1" w:lastRow="0" w:firstColumn="1" w:lastColumn="0" w:noHBand="0" w:noVBand="1"/>
      </w:tblPr>
      <w:tblGrid>
        <w:gridCol w:w="532"/>
        <w:gridCol w:w="7543"/>
        <w:gridCol w:w="3119"/>
        <w:gridCol w:w="1093"/>
        <w:gridCol w:w="1100"/>
        <w:gridCol w:w="1201"/>
      </w:tblGrid>
      <w:tr w:rsidR="00F430C5" w:rsidRPr="00F6167E" w14:paraId="2FA75730" w14:textId="77777777" w:rsidTr="00F6167E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50183" w14:textId="77777777" w:rsidR="004F5161" w:rsidRPr="00F6167E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DEE0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FA84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43D7" w14:textId="70F2F55D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</w:t>
            </w:r>
            <w:r w:rsidR="00347324" w:rsidRPr="00F6167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 xml:space="preserve"> год (тыс. рублей)</w:t>
            </w:r>
          </w:p>
        </w:tc>
      </w:tr>
      <w:tr w:rsidR="00F430C5" w:rsidRPr="00F6167E" w14:paraId="298B607C" w14:textId="77777777" w:rsidTr="00F6167E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9C3D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94CB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1845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F7D2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E438" w14:textId="33BBE154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 xml:space="preserve">Факт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0346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% освоения</w:t>
            </w:r>
          </w:p>
        </w:tc>
      </w:tr>
      <w:tr w:rsidR="008739AF" w:rsidRPr="00F6167E" w14:paraId="05A33A38" w14:textId="77777777" w:rsidTr="00F6167E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3688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62B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A5A3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4C22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01A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C090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739AF" w:rsidRPr="00F6167E" w14:paraId="32ECC03A" w14:textId="77777777" w:rsidTr="00F6167E">
        <w:trPr>
          <w:trHeight w:val="31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2B04" w14:textId="77777777" w:rsidR="004F5161" w:rsidRPr="00F6167E" w:rsidRDefault="004F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2CE4" w14:textId="77777777" w:rsidR="004F5161" w:rsidRPr="00F6167E" w:rsidRDefault="004F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br/>
              <w:t>«Поддержка и развитие малого и среднего предпринимательства, повышение инвестиционной и туристической привлекательности города Череповца на 2022 - 2026 годы»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B01" w14:textId="77777777" w:rsidR="004F5161" w:rsidRPr="00F6167E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1FF3" w14:textId="1E9118B6" w:rsidR="004F5161" w:rsidRPr="00F6167E" w:rsidRDefault="00E1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41 016,0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670C" w14:textId="665CEC5C" w:rsidR="004F5161" w:rsidRPr="00F6167E" w:rsidRDefault="00E1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41 016,0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12EC" w14:textId="2FFDF684" w:rsidR="004F5161" w:rsidRPr="00F6167E" w:rsidRDefault="00E1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26360F10" w14:textId="77777777" w:rsidTr="00F6167E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3867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E43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37D3" w14:textId="77777777" w:rsidR="004F5161" w:rsidRPr="00F6167E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Городской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15811" w14:textId="4EEAB6DA" w:rsidR="004F5161" w:rsidRPr="00F6167E" w:rsidRDefault="00A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35 487,0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69C8" w14:textId="42F19934" w:rsidR="004F5161" w:rsidRPr="00F6167E" w:rsidRDefault="00A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35 487,0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E84A" w14:textId="5417C137" w:rsidR="004F5161" w:rsidRPr="00F6167E" w:rsidRDefault="00A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23DC8896" w14:textId="77777777" w:rsidTr="00F6167E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ACA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AFEB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AE7B" w14:textId="77777777" w:rsidR="004F5161" w:rsidRPr="00F6167E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6294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7C97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88DE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39AF" w:rsidRPr="00F6167E" w14:paraId="51BEB282" w14:textId="77777777" w:rsidTr="00F6167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B776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02F5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49B8" w14:textId="77777777" w:rsidR="004F5161" w:rsidRPr="00F6167E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F415" w14:textId="219FB6C2" w:rsidR="004F5161" w:rsidRPr="00F6167E" w:rsidRDefault="00A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="004F5161"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41C" w14:textId="480F05EA" w:rsidR="004F5161" w:rsidRPr="00F6167E" w:rsidRDefault="00A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="004F5161"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BEC7" w14:textId="7D154DC7" w:rsidR="004F5161" w:rsidRPr="00F6167E" w:rsidRDefault="00A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F5161"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39AF" w:rsidRPr="00F6167E" w14:paraId="61DBA8CF" w14:textId="77777777" w:rsidTr="00F6167E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F361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9507" w14:textId="77777777" w:rsidR="004F5161" w:rsidRPr="00F6167E" w:rsidRDefault="004F51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D747" w14:textId="77777777" w:rsidR="004F5161" w:rsidRPr="00F6167E" w:rsidRDefault="004F5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9F4D" w14:textId="77777777" w:rsidR="004F5161" w:rsidRPr="00F6167E" w:rsidRDefault="004F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_Hlk140566893"/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4 649,0</w:t>
            </w:r>
            <w:bookmarkEnd w:id="7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2504" w14:textId="7AF0F6C0" w:rsidR="004F5161" w:rsidRPr="00F6167E" w:rsidRDefault="00A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4 649,0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FCE57" w14:textId="1C1A6669" w:rsidR="004F5161" w:rsidRPr="00F6167E" w:rsidRDefault="00A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12989CD5" w14:textId="77777777" w:rsidTr="00F6167E">
        <w:trPr>
          <w:trHeight w:val="283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8CC" w14:textId="77777777" w:rsidR="00F430C5" w:rsidRPr="00F6167E" w:rsidRDefault="00F430C5" w:rsidP="00F4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7DA7" w14:textId="77777777" w:rsidR="00F430C5" w:rsidRPr="00F6167E" w:rsidRDefault="00F430C5" w:rsidP="00F4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 «Формирование инфраструктуры поддержки субъектов МСП»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5DD0" w14:textId="77777777" w:rsidR="00F430C5" w:rsidRPr="00F6167E" w:rsidRDefault="00F430C5" w:rsidP="00F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CEDA" w14:textId="73AD276A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39 916,0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5651" w14:textId="7F6249A8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39 916,0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2217" w14:textId="7706CFAB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7017CE1E" w14:textId="77777777" w:rsidTr="00F6167E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4E01" w14:textId="77777777" w:rsidR="00F430C5" w:rsidRPr="00F6167E" w:rsidRDefault="00F430C5" w:rsidP="00F430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3FCD" w14:textId="77777777" w:rsidR="00F430C5" w:rsidRPr="00F6167E" w:rsidRDefault="00F430C5" w:rsidP="00F430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613C" w14:textId="77777777" w:rsidR="00F430C5" w:rsidRPr="00F6167E" w:rsidRDefault="00F430C5" w:rsidP="00F43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Городской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266" w14:textId="4EFD0886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35 267,0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DDFC" w14:textId="2E872FFA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35 267,0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0FD3" w14:textId="5BF25A4C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7B5E1CC5" w14:textId="77777777" w:rsidTr="00F6167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4524" w14:textId="77777777" w:rsidR="00F430C5" w:rsidRPr="00F6167E" w:rsidRDefault="00F430C5" w:rsidP="00F430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53D0" w14:textId="77777777" w:rsidR="00F430C5" w:rsidRPr="00F6167E" w:rsidRDefault="00F430C5" w:rsidP="00F430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3552" w14:textId="77777777" w:rsidR="00F430C5" w:rsidRPr="00F6167E" w:rsidRDefault="00F430C5" w:rsidP="00F43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4DB2" w14:textId="77777777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ADBB" w14:textId="56AC0F89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D9BD" w14:textId="77777777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39AF" w:rsidRPr="00F6167E" w14:paraId="063332BB" w14:textId="77777777" w:rsidTr="00F6167E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AE18" w14:textId="77777777" w:rsidR="00F430C5" w:rsidRPr="00F6167E" w:rsidRDefault="00F430C5" w:rsidP="00F430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CABB" w14:textId="77777777" w:rsidR="00F430C5" w:rsidRPr="00F6167E" w:rsidRDefault="00F430C5" w:rsidP="00F430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0CA7" w14:textId="77777777" w:rsidR="00F430C5" w:rsidRPr="00F6167E" w:rsidRDefault="00F430C5" w:rsidP="00F43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164B" w14:textId="77777777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1ADB" w14:textId="34198533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14B4" w14:textId="77777777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430C5" w:rsidRPr="00F6167E" w14:paraId="52FCB046" w14:textId="77777777" w:rsidTr="00F6167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F4CA" w14:textId="77777777" w:rsidR="00F430C5" w:rsidRPr="00F6167E" w:rsidRDefault="00F430C5" w:rsidP="00F430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E6CF" w14:textId="77777777" w:rsidR="00F430C5" w:rsidRPr="00F6167E" w:rsidRDefault="00F430C5" w:rsidP="00F430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72DE" w14:textId="77777777" w:rsidR="00F430C5" w:rsidRPr="00F6167E" w:rsidRDefault="00F430C5" w:rsidP="00F43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14:paraId="5FE79619" w14:textId="77777777" w:rsidR="00F430C5" w:rsidRPr="00F6167E" w:rsidRDefault="00F430C5" w:rsidP="00F43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2382" w14:textId="77777777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4 649,0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17AF" w14:textId="77724FB2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4 649,0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45CD" w14:textId="6A2196B6" w:rsidR="00F430C5" w:rsidRPr="00F6167E" w:rsidRDefault="00F430C5" w:rsidP="00F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2ED8AC03" w14:textId="77777777" w:rsidTr="00F6167E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076D5" w14:textId="3FFA93A4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BCA8F" w14:textId="3D365830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4. «Возмещение части затрат на приобретение мобильных пунктов быстрого питания города»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A01F" w14:textId="4B862469" w:rsidR="008739AF" w:rsidRPr="00F6167E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ACBD" w14:textId="10E5C7B6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1 100,0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A294" w14:textId="093A9391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1 100,0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F264" w14:textId="32DBEB88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60C2DC73" w14:textId="77777777" w:rsidTr="00F6167E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8D1D3" w14:textId="77777777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4739" w14:textId="77777777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18B1" w14:textId="5F5FE5C2" w:rsidR="008739AF" w:rsidRPr="00F6167E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Городской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B26F9" w14:textId="44F3A069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1525" w14:textId="273BD8FA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FB7D" w14:textId="67596485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4E958042" w14:textId="77777777" w:rsidTr="00F6167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1405B" w14:textId="77777777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CD75" w14:textId="77777777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D8A6" w14:textId="7CFE25DB" w:rsidR="008739AF" w:rsidRPr="00F6167E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0154C" w14:textId="56064193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D8E7" w14:textId="3DFFA43F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FD04" w14:textId="14F97182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39AF" w:rsidRPr="00F6167E" w14:paraId="74FB0254" w14:textId="77777777" w:rsidTr="00F6167E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4DFCD" w14:textId="77777777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A38D" w14:textId="77777777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1729" w14:textId="3CFF2F5B" w:rsidR="008739AF" w:rsidRPr="00F6167E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6FE9" w14:textId="684613FF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880,0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2CC3" w14:textId="134CCBEC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880,0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1CFD" w14:textId="4F95D320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9AF" w:rsidRPr="00F6167E" w14:paraId="51BF82EA" w14:textId="77777777" w:rsidTr="00F6167E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CCA" w14:textId="77777777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FA8C" w14:textId="77777777" w:rsidR="008739AF" w:rsidRPr="00F6167E" w:rsidRDefault="008739AF" w:rsidP="008739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AC8C" w14:textId="24C88602" w:rsidR="008739AF" w:rsidRPr="00F6167E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289D" w14:textId="1963D8A5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D9E4" w14:textId="0437D7B5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DBEA" w14:textId="430C6106" w:rsidR="008739AF" w:rsidRPr="00F6167E" w:rsidRDefault="008739AF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7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43034F5C" w14:textId="48ADA348" w:rsidR="004F5161" w:rsidRDefault="004F5161" w:rsidP="004F51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EE650A5" w14:textId="77777777" w:rsidR="00053A4A" w:rsidRDefault="00053A4A" w:rsidP="00FF5D46">
      <w:pPr>
        <w:pStyle w:val="a3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C284C0C" w14:textId="77777777" w:rsidR="00053A4A" w:rsidRDefault="00053A4A" w:rsidP="00FF5D46">
      <w:pPr>
        <w:pStyle w:val="a3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A3DC20B" w14:textId="77777777" w:rsidR="00053A4A" w:rsidRDefault="00053A4A" w:rsidP="00FF5D46">
      <w:pPr>
        <w:pStyle w:val="a3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BAE229D" w14:textId="77777777" w:rsidR="00053A4A" w:rsidRDefault="00053A4A" w:rsidP="00FF5D46">
      <w:pPr>
        <w:pStyle w:val="a3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832A122" w14:textId="77777777" w:rsidR="00053A4A" w:rsidRDefault="00053A4A" w:rsidP="00FF5D46">
      <w:pPr>
        <w:pStyle w:val="a3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6F22134" w14:textId="77777777" w:rsidR="00053A4A" w:rsidRDefault="00053A4A" w:rsidP="00FF5D46">
      <w:pPr>
        <w:pStyle w:val="a3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02A46D3" w14:textId="3547E6A9" w:rsidR="00FF5D46" w:rsidRPr="00C32683" w:rsidRDefault="00FF5D46" w:rsidP="00FF5D46">
      <w:pPr>
        <w:pStyle w:val="a3"/>
        <w:ind w:left="13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3268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5</w:t>
      </w:r>
    </w:p>
    <w:p w14:paraId="40EBD70E" w14:textId="77777777" w:rsidR="00FF5D46" w:rsidRPr="00C32683" w:rsidRDefault="00FF5D46" w:rsidP="00FF5D46">
      <w:pPr>
        <w:rPr>
          <w:lang w:eastAsia="ru-RU"/>
        </w:rPr>
      </w:pPr>
    </w:p>
    <w:p w14:paraId="32A61C16" w14:textId="77777777" w:rsidR="00FF5D46" w:rsidRPr="00C32683" w:rsidRDefault="00FF5D46" w:rsidP="00FF5D46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32683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результатах оценки эффективности налоговых расходов муниципальной программы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8363"/>
        <w:gridCol w:w="1560"/>
        <w:gridCol w:w="4677"/>
      </w:tblGrid>
      <w:tr w:rsidR="00FF5D46" w:rsidRPr="00C32683" w14:paraId="7FCDD194" w14:textId="77777777" w:rsidTr="004E5A4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654" w14:textId="77777777" w:rsidR="00FF5D46" w:rsidRPr="00C32683" w:rsidRDefault="00FF5D46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A24B" w14:textId="77777777" w:rsidR="00FF5D46" w:rsidRPr="00C32683" w:rsidRDefault="00FF5D46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F8E" w14:textId="579C5C74" w:rsidR="00FF5D46" w:rsidRPr="00C32683" w:rsidRDefault="00FF5D46" w:rsidP="001217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Объем налоговых расходов за 202</w:t>
            </w:r>
            <w:r w:rsidR="00121770">
              <w:rPr>
                <w:rFonts w:ascii="Times New Roman" w:hAnsi="Times New Roman" w:cs="Times New Roman"/>
              </w:rPr>
              <w:t>4</w:t>
            </w:r>
            <w:r w:rsidRPr="00C32683">
              <w:rPr>
                <w:rFonts w:ascii="Times New Roman" w:hAnsi="Times New Roman" w:cs="Times New Roman"/>
              </w:rPr>
              <w:t xml:space="preserve"> год </w:t>
            </w:r>
            <w:r w:rsidRPr="00E13847">
              <w:rPr>
                <w:rFonts w:ascii="Times New Roman" w:hAnsi="Times New Roman" w:cs="Times New Roman"/>
              </w:rPr>
              <w:t xml:space="preserve">(оценка), </w:t>
            </w:r>
            <w:r w:rsidRPr="00C32683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F08EE" w14:textId="77777777" w:rsidR="00FF5D46" w:rsidRPr="00C32683" w:rsidRDefault="00FF5D46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 xml:space="preserve">Краткий вывод по итогам оценки </w:t>
            </w:r>
          </w:p>
          <w:p w14:paraId="4AE64ABB" w14:textId="77777777" w:rsidR="00FF5D46" w:rsidRPr="00C32683" w:rsidRDefault="00FF5D46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эффективности налогового расхода</w:t>
            </w:r>
          </w:p>
        </w:tc>
      </w:tr>
      <w:tr w:rsidR="00FF5D46" w:rsidRPr="00C32683" w14:paraId="734F36C5" w14:textId="77777777" w:rsidTr="004E5A4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F51" w14:textId="77777777" w:rsidR="00FF5D46" w:rsidRPr="00C32683" w:rsidRDefault="00FF5D46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656" w14:textId="24B83B0E" w:rsidR="00FF5D46" w:rsidRPr="00C32683" w:rsidRDefault="00FF5D46" w:rsidP="00121770">
            <w:pPr>
              <w:pStyle w:val="a6"/>
            </w:pPr>
            <w:r w:rsidRPr="00C32683">
              <w:rPr>
                <w:rFonts w:ascii="Times New Roman" w:hAnsi="Times New Roman" w:cs="Times New Roman"/>
              </w:rPr>
              <w:t>Льгота по уплате налога на имущество физических лиц на 202</w:t>
            </w:r>
            <w:r w:rsidR="00121770">
              <w:rPr>
                <w:rFonts w:ascii="Times New Roman" w:hAnsi="Times New Roman" w:cs="Times New Roman"/>
              </w:rPr>
              <w:t>3</w:t>
            </w:r>
            <w:r w:rsidRPr="00C32683">
              <w:rPr>
                <w:rFonts w:ascii="Times New Roman" w:hAnsi="Times New Roman" w:cs="Times New Roman"/>
              </w:rPr>
              <w:t xml:space="preserve"> год в виде снижения ставки налога, предусмотренной подпунктом 2 пункта 3 решения Череповецкой городской Думы от 24.11.2015 № 199 «О налоге на имущество физических лиц», на 25%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и в отношении объектов налогообложения, предусмотренных абзацем вторым пункта 10 статьи 378.2 Налогового кодекса Российской Федерации, для налогоплательщиков (индивидуальных предпринимателей) - арендодателей, применяющих специальные налоговые режимы и осуществляющих основной вид деятельности в соответствии с кодами 68.2, 68.20, 68.20.2 Общероссийского классификатора видов экономической деятельности ОК 029-2014 (КДЕС Ред. 2), информация о котором содержится в Едином государственном реестре индивидуальных предпринимателей по состоянию на 1 марта 202</w:t>
            </w:r>
            <w:r w:rsidR="00121770">
              <w:rPr>
                <w:rFonts w:ascii="Times New Roman" w:hAnsi="Times New Roman" w:cs="Times New Roman"/>
              </w:rPr>
              <w:t>4</w:t>
            </w:r>
            <w:r w:rsidRPr="00C3268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F1F" w14:textId="06BEAE45" w:rsidR="00FF5D46" w:rsidRPr="00C32683" w:rsidRDefault="00121770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16 222</w:t>
            </w:r>
            <w:r w:rsidR="00FF5D46" w:rsidRPr="00C326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E1818" w14:textId="1BE9A211" w:rsidR="00FF5D46" w:rsidRPr="00C32683" w:rsidRDefault="00FF5D46" w:rsidP="00121770">
            <w:pPr>
              <w:pStyle w:val="a6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Налоговый расход признан целесообразным и результативным. Льгота в виде пониженной ставки действует только за 202</w:t>
            </w:r>
            <w:r w:rsidR="00121770">
              <w:rPr>
                <w:rFonts w:ascii="Times New Roman" w:hAnsi="Times New Roman" w:cs="Times New Roman"/>
              </w:rPr>
              <w:t>3</w:t>
            </w:r>
            <w:r w:rsidRPr="00C32683">
              <w:rPr>
                <w:rFonts w:ascii="Times New Roman" w:hAnsi="Times New Roman" w:cs="Times New Roman"/>
              </w:rPr>
              <w:t xml:space="preserve"> год с уплатой в 202</w:t>
            </w:r>
            <w:r w:rsidR="00121770">
              <w:rPr>
                <w:rFonts w:ascii="Times New Roman" w:hAnsi="Times New Roman" w:cs="Times New Roman"/>
              </w:rPr>
              <w:t>4</w:t>
            </w:r>
            <w:r w:rsidRPr="00C32683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FF5D46" w:rsidRPr="00C32683" w14:paraId="364490C2" w14:textId="77777777" w:rsidTr="004E5A46">
        <w:trPr>
          <w:trHeight w:val="136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C8B" w14:textId="77777777" w:rsidR="00FF5D46" w:rsidRPr="00C32683" w:rsidRDefault="00FF5D46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668" w14:textId="77777777" w:rsidR="00FF5D46" w:rsidRPr="00C32683" w:rsidRDefault="00FF5D46" w:rsidP="004E5A46">
            <w:pPr>
              <w:pStyle w:val="a6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Освобождение от уплаты земельного налога организаций - резидентов территории опережающего социально-экономического развития, созданной на территории города Череповца, в отношении земельных участков, вновь созданных (приобретенных) в рамках реализации соглашения об осуществлении деятельности на территории опережающего социально-экономического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950" w14:textId="37712832" w:rsidR="00FF5D46" w:rsidRPr="00C32683" w:rsidRDefault="00121770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  <w:r w:rsidR="00FF5D46" w:rsidRPr="00C326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5217B" w14:textId="77777777" w:rsidR="00FF5D46" w:rsidRPr="00C32683" w:rsidRDefault="00FF5D46" w:rsidP="004E5A46">
            <w:pPr>
              <w:pStyle w:val="a6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Налоговый расход признан целесообразным и результативным.</w:t>
            </w:r>
          </w:p>
          <w:p w14:paraId="19824959" w14:textId="77777777" w:rsidR="00FF5D46" w:rsidRPr="00C32683" w:rsidRDefault="00FF5D46" w:rsidP="004E5A46">
            <w:pPr>
              <w:spacing w:after="0" w:line="240" w:lineRule="auto"/>
              <w:rPr>
                <w:lang w:eastAsia="ru-RU"/>
              </w:rPr>
            </w:pPr>
            <w:r w:rsidRPr="00C3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сохранить налоговую льготу, она направлена на повышение инвестиционной привлекательности города и является стимулом для развития ТОСЭР.</w:t>
            </w:r>
          </w:p>
        </w:tc>
      </w:tr>
      <w:tr w:rsidR="00FF5D46" w:rsidRPr="00C32683" w14:paraId="597AEE28" w14:textId="77777777" w:rsidTr="004E5A46">
        <w:trPr>
          <w:trHeight w:val="468"/>
        </w:trPr>
        <w:tc>
          <w:tcPr>
            <w:tcW w:w="8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981" w14:textId="77777777" w:rsidR="00FF5D46" w:rsidRPr="00C32683" w:rsidRDefault="00FF5D46" w:rsidP="004E5A46">
            <w:pPr>
              <w:pStyle w:val="a3"/>
              <w:rPr>
                <w:rFonts w:ascii="Times New Roman" w:hAnsi="Times New Roman" w:cs="Times New Roman"/>
              </w:rPr>
            </w:pPr>
            <w:r w:rsidRPr="00C32683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418F" w14:textId="3120F003" w:rsidR="00FF5D46" w:rsidRPr="00C32683" w:rsidRDefault="00121770" w:rsidP="004E5A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17 215</w:t>
            </w:r>
            <w:r w:rsidR="00FF5D46" w:rsidRPr="00C326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2FE" w14:textId="77777777" w:rsidR="00FF5D46" w:rsidRPr="00C32683" w:rsidRDefault="00FF5D46" w:rsidP="004E5A4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10865C5" w14:textId="77777777" w:rsidR="004F5161" w:rsidRDefault="004F5161" w:rsidP="00053A4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4F5161" w:rsidSect="00F6167E">
      <w:pgSz w:w="16838" w:h="11906" w:orient="landscape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1E97"/>
    <w:multiLevelType w:val="hybridMultilevel"/>
    <w:tmpl w:val="492A2DBA"/>
    <w:lvl w:ilvl="0" w:tplc="FFFFFFFF">
      <w:start w:val="1"/>
      <w:numFmt w:val="decimal"/>
      <w:suff w:val="space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F656E"/>
    <w:multiLevelType w:val="hybridMultilevel"/>
    <w:tmpl w:val="DD22E21C"/>
    <w:lvl w:ilvl="0" w:tplc="ECD2D564">
      <w:start w:val="3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61D6F"/>
    <w:multiLevelType w:val="hybridMultilevel"/>
    <w:tmpl w:val="6912312A"/>
    <w:lvl w:ilvl="0" w:tplc="D8C6ACEC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98"/>
    <w:rsid w:val="00001F5C"/>
    <w:rsid w:val="000150B0"/>
    <w:rsid w:val="00026358"/>
    <w:rsid w:val="00037199"/>
    <w:rsid w:val="000432D8"/>
    <w:rsid w:val="000524DB"/>
    <w:rsid w:val="00053A4A"/>
    <w:rsid w:val="00062279"/>
    <w:rsid w:val="000622FA"/>
    <w:rsid w:val="000636BA"/>
    <w:rsid w:val="000957E6"/>
    <w:rsid w:val="000A0279"/>
    <w:rsid w:val="000B4556"/>
    <w:rsid w:val="000C4386"/>
    <w:rsid w:val="000D3870"/>
    <w:rsid w:val="000D52A4"/>
    <w:rsid w:val="000F7077"/>
    <w:rsid w:val="00104995"/>
    <w:rsid w:val="00110162"/>
    <w:rsid w:val="00110464"/>
    <w:rsid w:val="001111A2"/>
    <w:rsid w:val="00111B57"/>
    <w:rsid w:val="00112C63"/>
    <w:rsid w:val="00113D57"/>
    <w:rsid w:val="00114F31"/>
    <w:rsid w:val="00116D18"/>
    <w:rsid w:val="00121770"/>
    <w:rsid w:val="00121C14"/>
    <w:rsid w:val="00164DE0"/>
    <w:rsid w:val="00183C4E"/>
    <w:rsid w:val="00190FB5"/>
    <w:rsid w:val="0019501D"/>
    <w:rsid w:val="0019555B"/>
    <w:rsid w:val="001B4A5E"/>
    <w:rsid w:val="001D399D"/>
    <w:rsid w:val="001E5AD1"/>
    <w:rsid w:val="001E6077"/>
    <w:rsid w:val="001F27A3"/>
    <w:rsid w:val="00253A52"/>
    <w:rsid w:val="00266A10"/>
    <w:rsid w:val="0027061C"/>
    <w:rsid w:val="00281324"/>
    <w:rsid w:val="00296095"/>
    <w:rsid w:val="002C39CF"/>
    <w:rsid w:val="002C46B9"/>
    <w:rsid w:val="002D0925"/>
    <w:rsid w:val="002E393A"/>
    <w:rsid w:val="00320FF5"/>
    <w:rsid w:val="0033213A"/>
    <w:rsid w:val="0033307B"/>
    <w:rsid w:val="00347324"/>
    <w:rsid w:val="00373A4D"/>
    <w:rsid w:val="00374F28"/>
    <w:rsid w:val="003806F5"/>
    <w:rsid w:val="00386843"/>
    <w:rsid w:val="00392BF5"/>
    <w:rsid w:val="003A16D0"/>
    <w:rsid w:val="003A3B63"/>
    <w:rsid w:val="003E6E87"/>
    <w:rsid w:val="0041585F"/>
    <w:rsid w:val="00436176"/>
    <w:rsid w:val="00456BB0"/>
    <w:rsid w:val="00456C48"/>
    <w:rsid w:val="00462D91"/>
    <w:rsid w:val="00467D78"/>
    <w:rsid w:val="00486D18"/>
    <w:rsid w:val="00494DF2"/>
    <w:rsid w:val="004B3455"/>
    <w:rsid w:val="004B55D2"/>
    <w:rsid w:val="004C0670"/>
    <w:rsid w:val="004E32DB"/>
    <w:rsid w:val="004E5A46"/>
    <w:rsid w:val="004E628E"/>
    <w:rsid w:val="004F4D98"/>
    <w:rsid w:val="004F5161"/>
    <w:rsid w:val="0053257D"/>
    <w:rsid w:val="005900E2"/>
    <w:rsid w:val="00591807"/>
    <w:rsid w:val="00594CA4"/>
    <w:rsid w:val="005965A7"/>
    <w:rsid w:val="005B52C6"/>
    <w:rsid w:val="005E4B2B"/>
    <w:rsid w:val="0061403D"/>
    <w:rsid w:val="00632325"/>
    <w:rsid w:val="0064103C"/>
    <w:rsid w:val="006551EC"/>
    <w:rsid w:val="006F1096"/>
    <w:rsid w:val="007044FF"/>
    <w:rsid w:val="007313E0"/>
    <w:rsid w:val="00737AF7"/>
    <w:rsid w:val="00752316"/>
    <w:rsid w:val="007A0C49"/>
    <w:rsid w:val="007A3C47"/>
    <w:rsid w:val="007B1489"/>
    <w:rsid w:val="007C0301"/>
    <w:rsid w:val="007C2F3F"/>
    <w:rsid w:val="007F6926"/>
    <w:rsid w:val="0080245F"/>
    <w:rsid w:val="008120EC"/>
    <w:rsid w:val="00815360"/>
    <w:rsid w:val="00847B7D"/>
    <w:rsid w:val="008624D6"/>
    <w:rsid w:val="00866525"/>
    <w:rsid w:val="008739AF"/>
    <w:rsid w:val="00884588"/>
    <w:rsid w:val="008A21F0"/>
    <w:rsid w:val="008D06F2"/>
    <w:rsid w:val="008E0A3A"/>
    <w:rsid w:val="008E226F"/>
    <w:rsid w:val="008E568A"/>
    <w:rsid w:val="00934545"/>
    <w:rsid w:val="00962CB2"/>
    <w:rsid w:val="009709B7"/>
    <w:rsid w:val="00985C7E"/>
    <w:rsid w:val="00990A02"/>
    <w:rsid w:val="00996183"/>
    <w:rsid w:val="009A0598"/>
    <w:rsid w:val="009A537D"/>
    <w:rsid w:val="009B12E8"/>
    <w:rsid w:val="009B2B40"/>
    <w:rsid w:val="009B50DC"/>
    <w:rsid w:val="009B634A"/>
    <w:rsid w:val="009B7DA5"/>
    <w:rsid w:val="009D72AC"/>
    <w:rsid w:val="009E35C1"/>
    <w:rsid w:val="009F0E2F"/>
    <w:rsid w:val="009F221E"/>
    <w:rsid w:val="009F2BEB"/>
    <w:rsid w:val="00A00708"/>
    <w:rsid w:val="00A1340F"/>
    <w:rsid w:val="00A244D8"/>
    <w:rsid w:val="00A32F04"/>
    <w:rsid w:val="00A35A9E"/>
    <w:rsid w:val="00A55C11"/>
    <w:rsid w:val="00A70B00"/>
    <w:rsid w:val="00A7177D"/>
    <w:rsid w:val="00A9331B"/>
    <w:rsid w:val="00AD1C25"/>
    <w:rsid w:val="00AE23F5"/>
    <w:rsid w:val="00AE29BB"/>
    <w:rsid w:val="00B008F3"/>
    <w:rsid w:val="00B00C14"/>
    <w:rsid w:val="00B05526"/>
    <w:rsid w:val="00B263FE"/>
    <w:rsid w:val="00B272E1"/>
    <w:rsid w:val="00B9417E"/>
    <w:rsid w:val="00BB7FD3"/>
    <w:rsid w:val="00BF4018"/>
    <w:rsid w:val="00BF5E73"/>
    <w:rsid w:val="00C37F61"/>
    <w:rsid w:val="00C50861"/>
    <w:rsid w:val="00C5686E"/>
    <w:rsid w:val="00C6264E"/>
    <w:rsid w:val="00C8038E"/>
    <w:rsid w:val="00C876D7"/>
    <w:rsid w:val="00CA101E"/>
    <w:rsid w:val="00CA10EF"/>
    <w:rsid w:val="00CB7343"/>
    <w:rsid w:val="00CC3660"/>
    <w:rsid w:val="00CD59BF"/>
    <w:rsid w:val="00CF0368"/>
    <w:rsid w:val="00D31213"/>
    <w:rsid w:val="00D66437"/>
    <w:rsid w:val="00D67F83"/>
    <w:rsid w:val="00DC01E4"/>
    <w:rsid w:val="00DC1A5A"/>
    <w:rsid w:val="00DC3E5A"/>
    <w:rsid w:val="00DF3D92"/>
    <w:rsid w:val="00DF4C74"/>
    <w:rsid w:val="00DF6C45"/>
    <w:rsid w:val="00E11FED"/>
    <w:rsid w:val="00E13847"/>
    <w:rsid w:val="00E14978"/>
    <w:rsid w:val="00E2358C"/>
    <w:rsid w:val="00E24E93"/>
    <w:rsid w:val="00E44A74"/>
    <w:rsid w:val="00E60F0B"/>
    <w:rsid w:val="00E91087"/>
    <w:rsid w:val="00E933DE"/>
    <w:rsid w:val="00EA3662"/>
    <w:rsid w:val="00EB3321"/>
    <w:rsid w:val="00EF279B"/>
    <w:rsid w:val="00EF4D61"/>
    <w:rsid w:val="00EF7A44"/>
    <w:rsid w:val="00F12033"/>
    <w:rsid w:val="00F430C5"/>
    <w:rsid w:val="00F6167E"/>
    <w:rsid w:val="00F677A8"/>
    <w:rsid w:val="00F776BB"/>
    <w:rsid w:val="00F928CF"/>
    <w:rsid w:val="00FA2BC1"/>
    <w:rsid w:val="00FD1B29"/>
    <w:rsid w:val="00FF441C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26D1"/>
  <w15:chartTrackingRefBased/>
  <w15:docId w15:val="{638207EB-6864-4DD6-B09D-E6AA7086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6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F51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F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F5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4F516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5161"/>
    <w:pPr>
      <w:widowControl w:val="0"/>
      <w:shd w:val="clear" w:color="auto" w:fill="FFFFFF"/>
      <w:spacing w:after="120" w:line="240" w:lineRule="atLeast"/>
      <w:ind w:hanging="1180"/>
    </w:pPr>
    <w:rPr>
      <w:rFonts w:ascii="Times New Roman" w:hAnsi="Times New Roman" w:cs="Times New Roman"/>
      <w:kern w:val="2"/>
      <w14:ligatures w14:val="standardContextual"/>
    </w:rPr>
  </w:style>
  <w:style w:type="paragraph" w:customStyle="1" w:styleId="s16">
    <w:name w:val="s_16"/>
    <w:basedOn w:val="a"/>
    <w:rsid w:val="004F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1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5161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1B4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67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67E"/>
    <w:rPr>
      <w:rFonts w:ascii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-cher.ru/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agr-city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ark.ia-cher.ru/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8C36-F3F5-4974-BA88-D1BA5A7C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27</Pages>
  <Words>6065</Words>
  <Characters>34573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LukyanenkovaOU</dc:creator>
  <cp:keywords/>
  <dc:description/>
  <cp:lastModifiedBy>Мельникова Татьяна Владимировна</cp:lastModifiedBy>
  <cp:revision>24</cp:revision>
  <cp:lastPrinted>2025-04-17T08:38:00Z</cp:lastPrinted>
  <dcterms:created xsi:type="dcterms:W3CDTF">2025-02-17T13:54:00Z</dcterms:created>
  <dcterms:modified xsi:type="dcterms:W3CDTF">2025-04-18T10:24:00Z</dcterms:modified>
</cp:coreProperties>
</file>